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34FCF">
        <w:t>18.02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ED0034">
        <w:t>2</w:t>
      </w:r>
      <w:r w:rsidR="006252F7">
        <w:t>.201</w:t>
      </w:r>
      <w:r w:rsidR="00834FCF">
        <w:t>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 xml:space="preserve">    Zgodnie z art. 53 ust. 1 ustawy z dnia 27 marca 2003 r. o planowaniu i zagospodarowaniu przestrzennym (Dz. U. z 2017r., poz. 1073) oraz art. 49 Kodeksu postępowania administracyjnego ( tekst jednolity Dz. </w:t>
      </w:r>
      <w:bookmarkStart w:id="0" w:name="_GoBack"/>
      <w:bookmarkEnd w:id="0"/>
      <w:r>
        <w:t>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18.02.2019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ED0034">
        <w:rPr>
          <w:rFonts w:ascii="Times New Roman" w:hAnsi="Times New Roman"/>
          <w:b/>
        </w:rPr>
        <w:t>144/5, 147/105, 147/106 i 153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ED0034">
        <w:rPr>
          <w:rFonts w:ascii="Times New Roman" w:hAnsi="Times New Roman"/>
          <w:b/>
        </w:rPr>
        <w:t>Pigża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B0421"/>
    <w:rsid w:val="00B55977"/>
    <w:rsid w:val="00C116C6"/>
    <w:rsid w:val="00E35436"/>
    <w:rsid w:val="00ED0034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16</cp:revision>
  <cp:lastPrinted>2016-05-02T11:13:00Z</cp:lastPrinted>
  <dcterms:created xsi:type="dcterms:W3CDTF">2016-02-19T11:21:00Z</dcterms:created>
  <dcterms:modified xsi:type="dcterms:W3CDTF">2019-02-18T09:41:00Z</dcterms:modified>
</cp:coreProperties>
</file>