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7A9E" w:rsidRDefault="00387A9E" w:rsidP="004C6162">
      <w:pPr>
        <w:pStyle w:val="NormalWeb"/>
        <w:spacing w:after="0" w:afterAutospacing="0"/>
        <w:jc w:val="right"/>
      </w:pPr>
      <w:r w:rsidRPr="003425FA">
        <w:t xml:space="preserve">Łubianka, dn. </w:t>
      </w:r>
      <w:r>
        <w:t>25</w:t>
      </w:r>
      <w:r w:rsidRPr="003425FA">
        <w:t>.0</w:t>
      </w:r>
      <w:r>
        <w:t>7</w:t>
      </w:r>
      <w:r w:rsidRPr="003425FA">
        <w:t>.2018 r</w:t>
      </w:r>
      <w:r>
        <w:t>.</w:t>
      </w:r>
    </w:p>
    <w:p w:rsidR="00387A9E" w:rsidRPr="003425FA" w:rsidRDefault="00387A9E" w:rsidP="009C7742">
      <w:pPr>
        <w:pStyle w:val="NormalWeb"/>
        <w:spacing w:after="0" w:afterAutospacing="0"/>
      </w:pPr>
      <w:r>
        <w:t>WIR.6220.4</w:t>
      </w:r>
      <w:r w:rsidRPr="003425FA">
        <w:t>.2018</w:t>
      </w:r>
    </w:p>
    <w:p w:rsidR="00387A9E" w:rsidRPr="003425FA" w:rsidRDefault="00387A9E" w:rsidP="00A20225">
      <w:pPr>
        <w:pStyle w:val="NormalWeb"/>
        <w:spacing w:after="0" w:afterAutospacing="0"/>
        <w:jc w:val="center"/>
        <w:rPr>
          <w:rStyle w:val="Strong"/>
        </w:rPr>
      </w:pPr>
    </w:p>
    <w:p w:rsidR="00387A9E" w:rsidRPr="003425FA" w:rsidRDefault="00387A9E" w:rsidP="00A20225">
      <w:pPr>
        <w:pStyle w:val="NormalWeb"/>
        <w:spacing w:after="0" w:afterAutospacing="0"/>
        <w:jc w:val="center"/>
        <w:rPr>
          <w:rStyle w:val="Strong"/>
        </w:rPr>
      </w:pPr>
      <w:r w:rsidRPr="003425FA">
        <w:rPr>
          <w:rStyle w:val="Strong"/>
        </w:rPr>
        <w:t>DECYZJA</w:t>
      </w:r>
      <w:r w:rsidRPr="003425FA">
        <w:rPr>
          <w:rStyle w:val="Strong"/>
        </w:rPr>
        <w:br/>
      </w:r>
      <w:r w:rsidRPr="003425FA">
        <w:t> </w:t>
      </w:r>
      <w:r w:rsidRPr="003425FA">
        <w:rPr>
          <w:rStyle w:val="Strong"/>
        </w:rPr>
        <w:t>o umorzeniu postępowania</w:t>
      </w:r>
    </w:p>
    <w:p w:rsidR="00387A9E" w:rsidRPr="004C6162" w:rsidRDefault="00387A9E" w:rsidP="004C6162">
      <w:pPr>
        <w:pStyle w:val="NormalWeb"/>
        <w:spacing w:line="276" w:lineRule="auto"/>
        <w:ind w:firstLine="708"/>
        <w:jc w:val="both"/>
      </w:pPr>
      <w:r w:rsidRPr="003425FA">
        <w:t> </w:t>
      </w:r>
      <w:r w:rsidRPr="003425FA">
        <w:tab/>
        <w:t>Na podstawie art. 104, art. 105 § 1, ustawy z dnia 14 czerwca 1960 roku Kodeks Postępowania Administracyjnego (Dz. U. z 2017 r., poz. 1257, z 2018 r., poz. 149), art. 73 ust. 1, art. 75 ust. 1 pkt 4, ustawy z dnia 3 października 2008 r.</w:t>
      </w:r>
      <w:r>
        <w:t xml:space="preserve"> </w:t>
      </w:r>
      <w:r w:rsidRPr="003425FA">
        <w:t xml:space="preserve">o udostępnieniu informacji o środowisku i jego ochronie, udziale społeczeństwa w ochronie środowiska oraz </w:t>
      </w:r>
      <w:r>
        <w:t xml:space="preserve"> </w:t>
      </w:r>
      <w:r w:rsidRPr="003425FA">
        <w:t xml:space="preserve">o ocenach oddziaływania na środowisko (Dz. U. z 2017 r., poz. 1405, poz. 1999, poz. 1566), </w:t>
      </w:r>
      <w:r>
        <w:t xml:space="preserve">  </w:t>
      </w:r>
      <w:r w:rsidRPr="003425FA">
        <w:t xml:space="preserve">a także Rozporządzenia Rady Ministrów z dnia 9 listopada 2010 roku w sprawie przedsięwzięć mogących znacząco oddziaływać </w:t>
      </w:r>
      <w:r>
        <w:t>na środowisko (Dz. U. z 2016</w:t>
      </w:r>
      <w:r w:rsidRPr="003425FA">
        <w:t xml:space="preserve"> r., poz. </w:t>
      </w:r>
      <w:r>
        <w:t>71 j.t.</w:t>
      </w:r>
      <w:r w:rsidRPr="003425FA">
        <w:t xml:space="preserve">), po rozpatrzeniu wniosku </w:t>
      </w:r>
      <w:r>
        <w:t>z dnia 24 lutego</w:t>
      </w:r>
      <w:r w:rsidRPr="003425FA">
        <w:t xml:space="preserve"> </w:t>
      </w:r>
      <w:r>
        <w:t>2018</w:t>
      </w:r>
      <w:r w:rsidRPr="003425FA">
        <w:t xml:space="preserve"> r. </w:t>
      </w:r>
      <w:r>
        <w:t xml:space="preserve">Pani Katarzyny Bartosińskiej, zamieszkałej przy ul. Ks. Z. Ziętarskiego, 87-152 Bierzgłowo o wydanie decyzji o środowiskowych uwarunkowaniach zgody dla przedsięwzięcia pn.: </w:t>
      </w:r>
      <w:r w:rsidRPr="003425FA">
        <w:rPr>
          <w:b/>
          <w:lang w:eastAsia="zh-CN"/>
        </w:rPr>
        <w:t>„</w:t>
      </w:r>
      <w:r>
        <w:rPr>
          <w:b/>
          <w:iCs/>
          <w:kern w:val="2"/>
        </w:rPr>
        <w:t>Budowa budynku inwentarskiego – obory dla bydła mlecznego zlokalizowanej na działce nr 102 w miejscowości Bierzgłowo, gm. Łubianka</w:t>
      </w:r>
      <w:r w:rsidRPr="003425FA">
        <w:rPr>
          <w:b/>
          <w:iCs/>
          <w:kern w:val="2"/>
        </w:rPr>
        <w:t>”</w:t>
      </w:r>
      <w:r w:rsidRPr="003425FA">
        <w:rPr>
          <w:b/>
        </w:rPr>
        <w:t>.</w:t>
      </w:r>
    </w:p>
    <w:p w:rsidR="00387A9E" w:rsidRPr="003425FA" w:rsidRDefault="00387A9E" w:rsidP="006832A6">
      <w:pPr>
        <w:pStyle w:val="NormalWeb"/>
        <w:spacing w:after="0" w:afterAutospacing="0"/>
        <w:jc w:val="center"/>
      </w:pPr>
      <w:r w:rsidRPr="003425FA">
        <w:rPr>
          <w:rStyle w:val="Strong"/>
        </w:rPr>
        <w:t>ORZEKAM</w:t>
      </w:r>
    </w:p>
    <w:p w:rsidR="00387A9E" w:rsidRPr="008571C0" w:rsidRDefault="00387A9E" w:rsidP="008571C0">
      <w:pPr>
        <w:pStyle w:val="NormalWeb"/>
        <w:spacing w:after="240" w:afterAutospacing="0"/>
        <w:jc w:val="both"/>
        <w:rPr>
          <w:b/>
          <w:lang w:eastAsia="zh-CN"/>
        </w:rPr>
      </w:pPr>
      <w:r w:rsidRPr="003425FA">
        <w:t> </w:t>
      </w:r>
      <w:r w:rsidRPr="003425FA">
        <w:tab/>
      </w:r>
      <w:r w:rsidRPr="003425FA">
        <w:rPr>
          <w:rStyle w:val="Strong"/>
        </w:rPr>
        <w:t xml:space="preserve">umorzyć </w:t>
      </w:r>
      <w:r w:rsidRPr="003425FA">
        <w:t>postępowanie administra</w:t>
      </w:r>
      <w:r>
        <w:t xml:space="preserve">cyjne w sprawie wydania decyzji                              </w:t>
      </w:r>
      <w:r w:rsidRPr="003425FA">
        <w:t xml:space="preserve">o środowiskowych uwarunkowaniach zgody na realizację przedsięwzięcia polegającego na: </w:t>
      </w:r>
      <w:r w:rsidRPr="003425FA">
        <w:rPr>
          <w:b/>
          <w:lang w:eastAsia="zh-CN"/>
        </w:rPr>
        <w:t>„</w:t>
      </w:r>
      <w:r>
        <w:rPr>
          <w:b/>
          <w:iCs/>
          <w:kern w:val="2"/>
        </w:rPr>
        <w:t>Budowa budynku inwentarskiego – obory dla bydła mlecznego zlokalizowanej na działce nr 102 w miejscowości Bierzgłowo, gm. Łubianka</w:t>
      </w:r>
      <w:r w:rsidRPr="003425FA">
        <w:rPr>
          <w:b/>
          <w:iCs/>
          <w:kern w:val="2"/>
        </w:rPr>
        <w:t>”</w:t>
      </w:r>
      <w:r w:rsidRPr="003425FA">
        <w:rPr>
          <w:b/>
        </w:rPr>
        <w:t>.</w:t>
      </w:r>
    </w:p>
    <w:p w:rsidR="00387A9E" w:rsidRPr="003425FA" w:rsidRDefault="00387A9E" w:rsidP="004C6162">
      <w:pPr>
        <w:pStyle w:val="NormalWeb"/>
        <w:spacing w:after="240" w:afterAutospacing="0"/>
        <w:jc w:val="both"/>
      </w:pPr>
    </w:p>
    <w:p w:rsidR="00387A9E" w:rsidRPr="003425FA" w:rsidRDefault="00387A9E" w:rsidP="003425FA">
      <w:pPr>
        <w:spacing w:after="0" w:line="360" w:lineRule="auto"/>
        <w:jc w:val="center"/>
        <w:rPr>
          <w:rFonts w:ascii="Times New Roman" w:hAnsi="Times New Roman"/>
          <w:szCs w:val="24"/>
        </w:rPr>
      </w:pPr>
      <w:r w:rsidRPr="003425FA">
        <w:rPr>
          <w:rFonts w:ascii="Times New Roman" w:hAnsi="Times New Roman"/>
          <w:szCs w:val="24"/>
        </w:rPr>
        <w:t>UZASADNIENIE</w:t>
      </w:r>
    </w:p>
    <w:p w:rsidR="00387A9E" w:rsidRPr="000B5E4C" w:rsidRDefault="00387A9E" w:rsidP="000B5E4C">
      <w:pPr>
        <w:spacing w:after="0"/>
        <w:jc w:val="both"/>
        <w:rPr>
          <w:rFonts w:ascii="Times New Roman" w:hAnsi="Times New Roman"/>
          <w:sz w:val="24"/>
          <w:szCs w:val="24"/>
          <w:lang w:eastAsia="zh-CN"/>
        </w:rPr>
      </w:pPr>
      <w:r>
        <w:rPr>
          <w:rFonts w:ascii="Times New Roman" w:hAnsi="Times New Roman"/>
          <w:sz w:val="24"/>
          <w:szCs w:val="24"/>
        </w:rPr>
        <w:tab/>
        <w:t xml:space="preserve">Wójt Gminy Łubianka, wnioskiem z dnia11 maja 2018 r., znak: WIR.6220.4.2018 wystąpił do Regionalnego Dyrektora Ochrony Środowiska w Bydgoszczy                                      i Państwowego Powiatowego Inspektora Sanitarnego w Toruniu z prośbą o wyrażenie opinii w sprawie obowiązku przeprowadzenia oceny oddziaływania na środowisko dla zamierzenia pn.: </w:t>
      </w:r>
      <w:r w:rsidRPr="003425FA">
        <w:rPr>
          <w:b/>
          <w:lang w:eastAsia="zh-CN"/>
        </w:rPr>
        <w:t>„</w:t>
      </w:r>
      <w:r>
        <w:rPr>
          <w:b/>
          <w:iCs/>
          <w:kern w:val="2"/>
        </w:rPr>
        <w:t>Budowa budynku inwentarskiego – obory dla bydła mlecznego zlokalizowanej na działce nr 102 w miejscowości Bierzgłowo, gm. Łubianka</w:t>
      </w:r>
      <w:r w:rsidRPr="003425FA">
        <w:rPr>
          <w:b/>
          <w:iCs/>
          <w:kern w:val="2"/>
        </w:rPr>
        <w:t>”</w:t>
      </w:r>
      <w:r w:rsidRPr="003425FA">
        <w:rPr>
          <w:b/>
        </w:rPr>
        <w:t>.</w:t>
      </w:r>
    </w:p>
    <w:p w:rsidR="00387A9E" w:rsidRDefault="00387A9E" w:rsidP="003425FA">
      <w:pPr>
        <w:spacing w:after="0"/>
        <w:jc w:val="both"/>
        <w:rPr>
          <w:rFonts w:ascii="Times New Roman" w:hAnsi="Times New Roman"/>
          <w:sz w:val="24"/>
          <w:szCs w:val="24"/>
        </w:rPr>
      </w:pPr>
    </w:p>
    <w:p w:rsidR="00387A9E" w:rsidRDefault="00387A9E" w:rsidP="003425FA">
      <w:pPr>
        <w:spacing w:after="0"/>
        <w:ind w:firstLine="708"/>
        <w:jc w:val="both"/>
        <w:rPr>
          <w:rFonts w:ascii="Times New Roman" w:hAnsi="Times New Roman"/>
          <w:sz w:val="24"/>
          <w:szCs w:val="24"/>
        </w:rPr>
      </w:pPr>
      <w:r>
        <w:rPr>
          <w:rFonts w:ascii="Times New Roman" w:hAnsi="Times New Roman"/>
          <w:sz w:val="24"/>
          <w:szCs w:val="24"/>
        </w:rPr>
        <w:t xml:space="preserve">Państwowy Powiatowy Inspektor Sanitarny w Toruniu pismem, znak: N.NZ.40.2.4.4.2018 z dnia 16 marca 2018 r. wyraził stanowisko, że projektowane zamierzenie inwestycyjne nie kwalifikuje się do przedsięwzięć mogących potencjalnie znacząco oddziaływać na środowisko wyszczególnione w § 3, ust. 1, pkt. 102 rozporządzenia Rady Ministrów z dnia 3 października 2008 r. o udostępnianiu informacji o środowisku i jego ochronie, udziale społeczeństwa w ochronie środowiska oraz o ocenach oddziaływania na środowisko (Dz. U. z 2017 r., poz. 1405 z późn. zm.), a uzyskanie decyzji o środowiskowych uwarunkowaniach jest wymagane dla przedsięwzięć mogących zawsze znacząco oddziaływać na środowisko.  </w:t>
      </w:r>
    </w:p>
    <w:p w:rsidR="00387A9E" w:rsidRDefault="00387A9E" w:rsidP="003425FA">
      <w:pPr>
        <w:spacing w:after="0"/>
        <w:jc w:val="both"/>
        <w:rPr>
          <w:rFonts w:ascii="Times New Roman" w:hAnsi="Times New Roman"/>
          <w:sz w:val="24"/>
          <w:szCs w:val="24"/>
        </w:rPr>
      </w:pPr>
      <w:r>
        <w:rPr>
          <w:rFonts w:ascii="Times New Roman" w:hAnsi="Times New Roman"/>
          <w:sz w:val="24"/>
          <w:szCs w:val="24"/>
        </w:rPr>
        <w:tab/>
      </w:r>
    </w:p>
    <w:p w:rsidR="00387A9E" w:rsidRDefault="00387A9E" w:rsidP="00675D4A">
      <w:pPr>
        <w:spacing w:after="0"/>
        <w:ind w:firstLine="567"/>
        <w:jc w:val="both"/>
        <w:rPr>
          <w:rFonts w:ascii="Times New Roman" w:hAnsi="Times New Roman"/>
          <w:sz w:val="24"/>
          <w:szCs w:val="24"/>
        </w:rPr>
      </w:pPr>
      <w:r>
        <w:rPr>
          <w:rFonts w:ascii="Times New Roman" w:hAnsi="Times New Roman"/>
          <w:sz w:val="24"/>
          <w:szCs w:val="24"/>
        </w:rPr>
        <w:tab/>
        <w:t>Regionalny Dyrektor Ochrony Środowiska w Bydgoszczy, pismem z dnia 24 maja 2018 r. znak: WOO.4220.244.2018 AJ, wezwał Inwestora do uzupełnienia karty informacyjnej przedsięwzięcia (KIP) w zakresie informacji wskazanych w art. 63 ustawy z dnia 3 października 2008 r. o udostępnianiu informacji o środowisku i jego ochronie, udziale społeczeństwa w ochronie środowiska oraz o ocenach oddziaływania na środowisko (Dz. U. z 2017 r., poz. 1405 ze zm.).</w:t>
      </w:r>
    </w:p>
    <w:p w:rsidR="00387A9E" w:rsidRDefault="00387A9E" w:rsidP="00675D4A">
      <w:pPr>
        <w:spacing w:after="0"/>
        <w:ind w:firstLine="567"/>
        <w:jc w:val="both"/>
        <w:rPr>
          <w:rFonts w:ascii="Times New Roman" w:hAnsi="Times New Roman"/>
          <w:sz w:val="24"/>
          <w:szCs w:val="24"/>
        </w:rPr>
      </w:pPr>
    </w:p>
    <w:p w:rsidR="00387A9E" w:rsidRDefault="00387A9E" w:rsidP="00675D4A">
      <w:pPr>
        <w:spacing w:after="0"/>
        <w:ind w:firstLine="567"/>
        <w:jc w:val="both"/>
        <w:rPr>
          <w:rFonts w:ascii="Times New Roman" w:hAnsi="Times New Roman"/>
          <w:sz w:val="24"/>
          <w:szCs w:val="24"/>
        </w:rPr>
      </w:pPr>
      <w:r>
        <w:rPr>
          <w:rFonts w:ascii="Times New Roman" w:hAnsi="Times New Roman"/>
          <w:sz w:val="24"/>
          <w:szCs w:val="24"/>
        </w:rPr>
        <w:t>Pismem z dnia 26 czerwca 2018 r. Inwestor przedłożył Regionalnemu Dyrektorowi Ochrony Środowiska w Bydgoszczy uzupełnienie i wyjaśnienie karty informacyjnej, które organ uzgadniający uznał za wystarczające i pismem z WOO.4220.244.2018.AJ.2 z dnia           6 lipca 2018 roku wyraził następującą opinię:</w:t>
      </w:r>
    </w:p>
    <w:p w:rsidR="00387A9E" w:rsidRDefault="00387A9E" w:rsidP="00675D4A">
      <w:pPr>
        <w:spacing w:after="0"/>
        <w:ind w:firstLine="567"/>
        <w:jc w:val="both"/>
        <w:rPr>
          <w:rFonts w:ascii="Times New Roman" w:hAnsi="Times New Roman"/>
          <w:sz w:val="24"/>
          <w:szCs w:val="24"/>
        </w:rPr>
      </w:pPr>
    </w:p>
    <w:p w:rsidR="00387A9E" w:rsidRDefault="00387A9E" w:rsidP="005A7444">
      <w:pPr>
        <w:pStyle w:val="ListParagraph"/>
        <w:numPr>
          <w:ilvl w:val="0"/>
          <w:numId w:val="6"/>
        </w:numPr>
        <w:spacing w:after="0"/>
        <w:ind w:left="284" w:firstLine="0"/>
        <w:jc w:val="both"/>
        <w:rPr>
          <w:rFonts w:ascii="Times New Roman" w:hAnsi="Times New Roman"/>
          <w:sz w:val="24"/>
          <w:szCs w:val="24"/>
        </w:rPr>
      </w:pPr>
      <w:r>
        <w:rPr>
          <w:rFonts w:ascii="Times New Roman" w:hAnsi="Times New Roman"/>
          <w:sz w:val="24"/>
          <w:szCs w:val="24"/>
        </w:rPr>
        <w:t>dla przedsięwzięcia polegającego na budowie budynku inwentarskiego – obory dla bydła mlecznego zlokalizowanej na działce nr 102 w miejscowości Bierzgłowo, gmina Łubianka, nie istnieje konieczność przeprowadzenia oceny oddziaływania na środowisko.                            II.   Zgodnie z treścią art. 64 ust. 3a ustawy o udostępnianiu informacji o środowisku i jego ochronie, udziale społeczeństwa w ochronie środowiska oraz o ocenach oddziaływania na środowisko wskazuje się:</w:t>
      </w:r>
    </w:p>
    <w:p w:rsidR="00387A9E" w:rsidRDefault="00387A9E" w:rsidP="000A41C5">
      <w:pPr>
        <w:pStyle w:val="ListParagraph"/>
        <w:numPr>
          <w:ilvl w:val="0"/>
          <w:numId w:val="7"/>
        </w:numPr>
        <w:spacing w:after="0"/>
        <w:jc w:val="both"/>
        <w:rPr>
          <w:rFonts w:ascii="Times New Roman" w:hAnsi="Times New Roman"/>
          <w:sz w:val="24"/>
          <w:szCs w:val="24"/>
        </w:rPr>
      </w:pPr>
      <w:r>
        <w:rPr>
          <w:rFonts w:ascii="Times New Roman" w:hAnsi="Times New Roman"/>
          <w:sz w:val="24"/>
          <w:szCs w:val="24"/>
        </w:rPr>
        <w:t>Istotne warunki korzystania ze środowiska w fazie realizacji i eksploatacji lub użytkowania przedsięwzięcia, ze szczególnym uwzględnieniem konieczności ochrony cennych wartości przyrodniczych, zasobów naturalnych i zabytków oraz ograniczenia uciążliwości dla terenów sąsiednich, w szczególności:</w:t>
      </w:r>
    </w:p>
    <w:p w:rsidR="00387A9E" w:rsidRDefault="00387A9E" w:rsidP="000A41C5">
      <w:pPr>
        <w:pStyle w:val="ListParagraph"/>
        <w:numPr>
          <w:ilvl w:val="0"/>
          <w:numId w:val="8"/>
        </w:numPr>
        <w:spacing w:after="0"/>
        <w:jc w:val="both"/>
        <w:rPr>
          <w:rFonts w:ascii="Times New Roman" w:hAnsi="Times New Roman"/>
          <w:sz w:val="24"/>
          <w:szCs w:val="24"/>
        </w:rPr>
      </w:pPr>
      <w:r>
        <w:rPr>
          <w:rFonts w:ascii="Times New Roman" w:hAnsi="Times New Roman"/>
          <w:sz w:val="24"/>
          <w:szCs w:val="24"/>
        </w:rPr>
        <w:t>na terenie gospodarstwa prowadzić chów bydła w nieprzekraczalnej ilości 55,5 DJP.</w:t>
      </w:r>
    </w:p>
    <w:p w:rsidR="00387A9E" w:rsidRDefault="00387A9E" w:rsidP="000A41C5">
      <w:pPr>
        <w:pStyle w:val="ListParagraph"/>
        <w:numPr>
          <w:ilvl w:val="0"/>
          <w:numId w:val="8"/>
        </w:numPr>
        <w:spacing w:after="0"/>
        <w:jc w:val="both"/>
        <w:rPr>
          <w:rFonts w:ascii="Times New Roman" w:hAnsi="Times New Roman"/>
          <w:sz w:val="24"/>
          <w:szCs w:val="24"/>
        </w:rPr>
      </w:pPr>
      <w:r>
        <w:rPr>
          <w:rFonts w:ascii="Times New Roman" w:hAnsi="Times New Roman"/>
          <w:sz w:val="24"/>
          <w:szCs w:val="24"/>
        </w:rPr>
        <w:t>rozbiórkę budynków oraz wycinkę drzew i krzewów prowadzić poza okresem lęgowym ptaków oraz kluczowym okresem rozrodu gatunków dziko występujących zwierząt, przypadającym w terminie od 1 marca do 31 sierpnia lub w dowolnym terminie po potwierdzeniu braku aktywnych lęgów ptaków oraz rozrodu zwierząt w obrębie drzew i krzewów oraz rozbieranych budynków.</w:t>
      </w:r>
    </w:p>
    <w:p w:rsidR="00387A9E" w:rsidRPr="005A7444" w:rsidRDefault="00387A9E" w:rsidP="000A41C5">
      <w:pPr>
        <w:pStyle w:val="ListParagraph"/>
        <w:numPr>
          <w:ilvl w:val="0"/>
          <w:numId w:val="8"/>
        </w:numPr>
        <w:spacing w:after="0"/>
        <w:jc w:val="both"/>
        <w:rPr>
          <w:rFonts w:ascii="Times New Roman" w:hAnsi="Times New Roman"/>
          <w:sz w:val="24"/>
          <w:szCs w:val="24"/>
        </w:rPr>
      </w:pPr>
      <w:r>
        <w:rPr>
          <w:rFonts w:ascii="Times New Roman" w:hAnsi="Times New Roman"/>
          <w:sz w:val="24"/>
          <w:szCs w:val="24"/>
        </w:rPr>
        <w:t>każdorazowo przed podjęciem prac w obrębie wykopów dokonać kontroli obecności zwierząt w ich obrębie. W przypadku obecności fauny, zwierzę lub zwierzęta odłowić, a następnie przenieść poza obszar robót, do siedliska zapewniającego możliwości dalszej wędrówki.</w:t>
      </w:r>
    </w:p>
    <w:p w:rsidR="00387A9E" w:rsidRDefault="00387A9E" w:rsidP="00402764">
      <w:pPr>
        <w:pStyle w:val="ListParagraph"/>
        <w:numPr>
          <w:ilvl w:val="0"/>
          <w:numId w:val="7"/>
        </w:numPr>
        <w:spacing w:after="0"/>
        <w:jc w:val="both"/>
        <w:rPr>
          <w:rFonts w:ascii="Times New Roman" w:hAnsi="Times New Roman"/>
          <w:sz w:val="24"/>
          <w:szCs w:val="24"/>
        </w:rPr>
      </w:pPr>
      <w:r>
        <w:rPr>
          <w:rFonts w:ascii="Times New Roman" w:hAnsi="Times New Roman"/>
          <w:sz w:val="24"/>
          <w:szCs w:val="24"/>
        </w:rPr>
        <w:t>Wymagania dotyczące ochrony środowiska konieczne do uwzględnienia                w dokumentacji wymaganej do wydania decyzji, o których mowa w art. 72 ust. 1 uouioś, w szczególności w projekcie budowlanym:</w:t>
      </w:r>
    </w:p>
    <w:p w:rsidR="00387A9E" w:rsidRDefault="00387A9E" w:rsidP="00A90904">
      <w:pPr>
        <w:pStyle w:val="ListParagraph"/>
        <w:numPr>
          <w:ilvl w:val="0"/>
          <w:numId w:val="9"/>
        </w:numPr>
        <w:spacing w:after="0"/>
        <w:jc w:val="both"/>
        <w:rPr>
          <w:rFonts w:ascii="Times New Roman" w:hAnsi="Times New Roman"/>
          <w:sz w:val="24"/>
          <w:szCs w:val="24"/>
        </w:rPr>
      </w:pPr>
      <w:r>
        <w:rPr>
          <w:rFonts w:ascii="Times New Roman" w:hAnsi="Times New Roman"/>
          <w:sz w:val="24"/>
          <w:szCs w:val="24"/>
        </w:rPr>
        <w:t>planowany budynek inwentarski wyposażyć w szczelne, betonowe podłoże,</w:t>
      </w:r>
    </w:p>
    <w:p w:rsidR="00387A9E" w:rsidRDefault="00387A9E" w:rsidP="00A90904">
      <w:pPr>
        <w:pStyle w:val="ListParagraph"/>
        <w:numPr>
          <w:ilvl w:val="0"/>
          <w:numId w:val="9"/>
        </w:numPr>
        <w:spacing w:after="0"/>
        <w:jc w:val="both"/>
        <w:rPr>
          <w:rFonts w:ascii="Times New Roman" w:hAnsi="Times New Roman"/>
          <w:sz w:val="24"/>
          <w:szCs w:val="24"/>
        </w:rPr>
      </w:pPr>
      <w:r>
        <w:rPr>
          <w:rFonts w:ascii="Times New Roman" w:hAnsi="Times New Roman"/>
          <w:sz w:val="24"/>
          <w:szCs w:val="24"/>
        </w:rPr>
        <w:t xml:space="preserve">nawozy naturalne przechowywać na płycie obornikowej o zakładanej powierzchni ok. </w:t>
      </w:r>
      <w:smartTag w:uri="urn:schemas-microsoft-com:office:smarttags" w:element="metricconverter">
        <w:smartTagPr>
          <w:attr w:name="ProductID" w:val="200 m²"/>
        </w:smartTagPr>
        <w:r>
          <w:rPr>
            <w:rFonts w:ascii="Times New Roman" w:hAnsi="Times New Roman"/>
            <w:sz w:val="24"/>
            <w:szCs w:val="24"/>
          </w:rPr>
          <w:t>200 m²</w:t>
        </w:r>
      </w:smartTag>
      <w:r>
        <w:rPr>
          <w:rFonts w:ascii="Times New Roman" w:hAnsi="Times New Roman"/>
          <w:sz w:val="24"/>
          <w:szCs w:val="24"/>
        </w:rPr>
        <w:t xml:space="preserve"> oraz zbiorniku na gnojówkę o pojemności ok. </w:t>
      </w:r>
      <w:smartTag w:uri="urn:schemas-microsoft-com:office:smarttags" w:element="metricconverter">
        <w:smartTagPr>
          <w:attr w:name="ProductID" w:val="15 m³"/>
        </w:smartTagPr>
        <w:r>
          <w:rPr>
            <w:rFonts w:ascii="Times New Roman" w:hAnsi="Times New Roman"/>
            <w:sz w:val="24"/>
            <w:szCs w:val="24"/>
          </w:rPr>
          <w:t>15 m³</w:t>
        </w:r>
      </w:smartTag>
      <w:r>
        <w:rPr>
          <w:rFonts w:ascii="Times New Roman" w:hAnsi="Times New Roman"/>
          <w:sz w:val="24"/>
          <w:szCs w:val="24"/>
        </w:rPr>
        <w:t>,</w:t>
      </w:r>
    </w:p>
    <w:p w:rsidR="00387A9E" w:rsidRDefault="00387A9E" w:rsidP="00A90904">
      <w:pPr>
        <w:pStyle w:val="ListParagraph"/>
        <w:numPr>
          <w:ilvl w:val="0"/>
          <w:numId w:val="9"/>
        </w:numPr>
        <w:spacing w:after="0"/>
        <w:jc w:val="both"/>
        <w:rPr>
          <w:rFonts w:ascii="Times New Roman" w:hAnsi="Times New Roman"/>
          <w:sz w:val="24"/>
          <w:szCs w:val="24"/>
        </w:rPr>
      </w:pPr>
      <w:r>
        <w:rPr>
          <w:rFonts w:ascii="Times New Roman" w:hAnsi="Times New Roman"/>
          <w:sz w:val="24"/>
          <w:szCs w:val="24"/>
        </w:rPr>
        <w:t>obiekt wyposażyć w system wentylacji grawitacyjnej,</w:t>
      </w:r>
    </w:p>
    <w:p w:rsidR="00387A9E" w:rsidRDefault="00387A9E" w:rsidP="00A90904">
      <w:pPr>
        <w:pStyle w:val="ListParagraph"/>
        <w:numPr>
          <w:ilvl w:val="0"/>
          <w:numId w:val="9"/>
        </w:numPr>
        <w:spacing w:after="0"/>
        <w:jc w:val="both"/>
        <w:rPr>
          <w:rFonts w:ascii="Times New Roman" w:hAnsi="Times New Roman"/>
          <w:sz w:val="24"/>
          <w:szCs w:val="24"/>
        </w:rPr>
      </w:pPr>
      <w:r>
        <w:rPr>
          <w:rFonts w:ascii="Times New Roman" w:hAnsi="Times New Roman"/>
          <w:sz w:val="24"/>
          <w:szCs w:val="24"/>
        </w:rPr>
        <w:t>agregat chłodniczy zainstalować na ścianie obiektu inwentarskiego od strony południowej,</w:t>
      </w:r>
    </w:p>
    <w:p w:rsidR="00387A9E" w:rsidRDefault="00387A9E" w:rsidP="00A90904">
      <w:pPr>
        <w:pStyle w:val="ListParagraph"/>
        <w:numPr>
          <w:ilvl w:val="0"/>
          <w:numId w:val="9"/>
        </w:numPr>
        <w:spacing w:after="0"/>
        <w:jc w:val="both"/>
        <w:rPr>
          <w:rFonts w:ascii="Times New Roman" w:hAnsi="Times New Roman"/>
          <w:sz w:val="24"/>
          <w:szCs w:val="24"/>
        </w:rPr>
      </w:pPr>
      <w:r>
        <w:rPr>
          <w:rFonts w:ascii="Times New Roman" w:hAnsi="Times New Roman"/>
          <w:sz w:val="24"/>
          <w:szCs w:val="24"/>
        </w:rPr>
        <w:t xml:space="preserve">wykonać pas nasadzeń zieleni wysokiej od strony zachodniej działki o długości nie mniejszej niż </w:t>
      </w:r>
      <w:smartTag w:uri="urn:schemas-microsoft-com:office:smarttags" w:element="metricconverter">
        <w:smartTagPr>
          <w:attr w:name="ProductID" w:val="50 m"/>
        </w:smartTagPr>
        <w:r>
          <w:rPr>
            <w:rFonts w:ascii="Times New Roman" w:hAnsi="Times New Roman"/>
            <w:sz w:val="24"/>
            <w:szCs w:val="24"/>
          </w:rPr>
          <w:t>50 m</w:t>
        </w:r>
      </w:smartTag>
      <w:r>
        <w:rPr>
          <w:rFonts w:ascii="Times New Roman" w:hAnsi="Times New Roman"/>
          <w:sz w:val="24"/>
          <w:szCs w:val="24"/>
        </w:rPr>
        <w:t xml:space="preserve">. Do nasadzeń wykorzystać sadzonki drzew o dobrze rozwiniętym systemie korzeniowym i wysokości min. </w:t>
      </w:r>
      <w:smartTag w:uri="urn:schemas-microsoft-com:office:smarttags" w:element="metricconverter">
        <w:smartTagPr>
          <w:attr w:name="ProductID" w:val="200 cm"/>
        </w:smartTagPr>
        <w:r>
          <w:rPr>
            <w:rFonts w:ascii="Times New Roman" w:hAnsi="Times New Roman"/>
            <w:sz w:val="24"/>
            <w:szCs w:val="24"/>
          </w:rPr>
          <w:t>200 cm</w:t>
        </w:r>
      </w:smartTag>
      <w:r>
        <w:rPr>
          <w:rFonts w:ascii="Times New Roman" w:hAnsi="Times New Roman"/>
          <w:sz w:val="24"/>
          <w:szCs w:val="24"/>
        </w:rPr>
        <w:t xml:space="preserve"> oraz krzewów o dobrze rozwiniętym systemie korzeniowym i poprawnie rozkrzewionej części nadziemnej,</w:t>
      </w:r>
    </w:p>
    <w:p w:rsidR="00387A9E" w:rsidRDefault="00387A9E" w:rsidP="0013383C">
      <w:pPr>
        <w:pStyle w:val="ListParagraph"/>
        <w:numPr>
          <w:ilvl w:val="0"/>
          <w:numId w:val="7"/>
        </w:numPr>
        <w:spacing w:after="0"/>
        <w:jc w:val="both"/>
        <w:rPr>
          <w:rFonts w:ascii="Times New Roman" w:hAnsi="Times New Roman"/>
          <w:sz w:val="24"/>
          <w:szCs w:val="24"/>
        </w:rPr>
      </w:pPr>
      <w:r>
        <w:rPr>
          <w:rFonts w:ascii="Times New Roman" w:hAnsi="Times New Roman"/>
          <w:sz w:val="24"/>
          <w:szCs w:val="24"/>
        </w:rPr>
        <w:t>Obowiązek unikania, zapobiegania, ograniczenia oddziaływania przedsięwzięcia na środowisko, w szczególności poprzez:</w:t>
      </w:r>
    </w:p>
    <w:p w:rsidR="00387A9E" w:rsidRDefault="00387A9E" w:rsidP="0013383C">
      <w:pPr>
        <w:pStyle w:val="ListParagraph"/>
        <w:numPr>
          <w:ilvl w:val="0"/>
          <w:numId w:val="10"/>
        </w:numPr>
        <w:spacing w:after="0"/>
        <w:jc w:val="both"/>
        <w:rPr>
          <w:rFonts w:ascii="Times New Roman" w:hAnsi="Times New Roman"/>
          <w:sz w:val="24"/>
          <w:szCs w:val="24"/>
        </w:rPr>
      </w:pPr>
      <w:r>
        <w:rPr>
          <w:rFonts w:ascii="Times New Roman" w:hAnsi="Times New Roman"/>
          <w:sz w:val="24"/>
          <w:szCs w:val="24"/>
        </w:rPr>
        <w:t>magazynowanie sztuk padłych w wydzielonym pomieszczeniu magazynowym (z niską temperaturą), w planowanym budynku inwentarskim,</w:t>
      </w:r>
    </w:p>
    <w:p w:rsidR="00387A9E" w:rsidRDefault="00387A9E" w:rsidP="0013383C">
      <w:pPr>
        <w:pStyle w:val="ListParagraph"/>
        <w:numPr>
          <w:ilvl w:val="0"/>
          <w:numId w:val="10"/>
        </w:numPr>
        <w:spacing w:after="0"/>
        <w:jc w:val="both"/>
        <w:rPr>
          <w:rFonts w:ascii="Times New Roman" w:hAnsi="Times New Roman"/>
          <w:sz w:val="24"/>
          <w:szCs w:val="24"/>
        </w:rPr>
      </w:pPr>
      <w:r>
        <w:rPr>
          <w:rFonts w:ascii="Times New Roman" w:hAnsi="Times New Roman"/>
          <w:sz w:val="24"/>
          <w:szCs w:val="24"/>
        </w:rPr>
        <w:t>prowadzenie prac eksploatacyjnych uciążliwych pod względem emisji hałasu, takich jak np. transport odpadów, nawozów prowadzić wyłącznie w porze dziennej (6ºº-22ºº),</w:t>
      </w:r>
    </w:p>
    <w:p w:rsidR="00387A9E" w:rsidRDefault="00387A9E" w:rsidP="00B67A78">
      <w:pPr>
        <w:spacing w:after="0"/>
        <w:ind w:firstLine="708"/>
        <w:jc w:val="both"/>
        <w:rPr>
          <w:rFonts w:ascii="Times New Roman" w:hAnsi="Times New Roman"/>
          <w:sz w:val="24"/>
          <w:szCs w:val="24"/>
        </w:rPr>
      </w:pPr>
      <w:r>
        <w:rPr>
          <w:rFonts w:ascii="Times New Roman" w:hAnsi="Times New Roman"/>
          <w:sz w:val="24"/>
          <w:szCs w:val="24"/>
        </w:rPr>
        <w:t xml:space="preserve">Analizując rodzaj, parametry techniczne oraz zasięg planowanego oddziaływania przedmiotowej inwestycji na środowisko zaliczają ją do grupy przedsięwzięć wymienionych w § 3 ust. 1 pkt. 103 lit a, cyt,: „chów lub hodowla zwierząt, inne niż wymienione w § 2 ust. 1 51, w liczbie nie mniejszej niż 40 dużych jednostek przeliczeniowych inwentarza (DJP), jeżeli działalność ta prowadzona będzie w odległości mniejszej niż </w:t>
      </w:r>
      <w:smartTag w:uri="urn:schemas-microsoft-com:office:smarttags" w:element="metricconverter">
        <w:smartTagPr>
          <w:attr w:name="ProductID" w:val="100 m"/>
        </w:smartTagPr>
        <w:r>
          <w:rPr>
            <w:rFonts w:ascii="Times New Roman" w:hAnsi="Times New Roman"/>
            <w:sz w:val="24"/>
            <w:szCs w:val="24"/>
          </w:rPr>
          <w:t>100 m</w:t>
        </w:r>
      </w:smartTag>
      <w:r>
        <w:rPr>
          <w:rFonts w:ascii="Times New Roman" w:hAnsi="Times New Roman"/>
          <w:sz w:val="24"/>
          <w:szCs w:val="24"/>
        </w:rPr>
        <w:t xml:space="preserve"> od następujących terenów w rozumieniu przepisów rozporządzenia Ministra Rozwoju Regionalnego                   i budynków z dnia 29 marca 2001 r. w sprawie ewidencji gruntów i budynków, nie uwzględniając nieruchomości gospodarstwa, na którego terenie chów lub hodowla będzie prowadzona:</w:t>
      </w:r>
    </w:p>
    <w:p w:rsidR="00387A9E" w:rsidRDefault="00387A9E" w:rsidP="00B67A78">
      <w:pPr>
        <w:spacing w:after="0"/>
        <w:ind w:firstLine="708"/>
        <w:jc w:val="both"/>
        <w:rPr>
          <w:rFonts w:ascii="Times New Roman" w:hAnsi="Times New Roman"/>
          <w:sz w:val="24"/>
          <w:szCs w:val="24"/>
        </w:rPr>
      </w:pPr>
      <w:r>
        <w:rPr>
          <w:rFonts w:ascii="Times New Roman" w:hAnsi="Times New Roman"/>
          <w:sz w:val="24"/>
          <w:szCs w:val="24"/>
        </w:rPr>
        <w:t>-  mieszkaniowych,</w:t>
      </w:r>
    </w:p>
    <w:p w:rsidR="00387A9E" w:rsidRDefault="00387A9E" w:rsidP="00B67A78">
      <w:pPr>
        <w:spacing w:after="0"/>
        <w:ind w:firstLine="708"/>
        <w:jc w:val="both"/>
        <w:rPr>
          <w:rFonts w:ascii="Times New Roman" w:hAnsi="Times New Roman"/>
          <w:sz w:val="24"/>
          <w:szCs w:val="24"/>
        </w:rPr>
      </w:pPr>
      <w:r>
        <w:rPr>
          <w:rFonts w:ascii="Times New Roman" w:hAnsi="Times New Roman"/>
          <w:sz w:val="24"/>
          <w:szCs w:val="24"/>
        </w:rPr>
        <w:t>- innych zabudowanych z wyłączeniem cmentarzy i grzebowisk dla zwierząt,</w:t>
      </w:r>
    </w:p>
    <w:p w:rsidR="00387A9E" w:rsidRDefault="00387A9E" w:rsidP="00B67A78">
      <w:pPr>
        <w:spacing w:after="0"/>
        <w:ind w:firstLine="708"/>
        <w:jc w:val="both"/>
        <w:rPr>
          <w:rFonts w:ascii="Times New Roman" w:hAnsi="Times New Roman"/>
          <w:sz w:val="24"/>
          <w:szCs w:val="24"/>
        </w:rPr>
      </w:pPr>
      <w:r>
        <w:rPr>
          <w:rFonts w:ascii="Times New Roman" w:hAnsi="Times New Roman"/>
          <w:sz w:val="24"/>
          <w:szCs w:val="24"/>
        </w:rPr>
        <w:t>- zurbanizowanych niezabudowanych,</w:t>
      </w:r>
    </w:p>
    <w:p w:rsidR="00387A9E" w:rsidRDefault="00387A9E" w:rsidP="00111FD7">
      <w:pPr>
        <w:spacing w:after="0"/>
        <w:ind w:left="708"/>
        <w:jc w:val="both"/>
        <w:rPr>
          <w:rFonts w:ascii="Times New Roman" w:hAnsi="Times New Roman"/>
          <w:sz w:val="24"/>
          <w:szCs w:val="24"/>
        </w:rPr>
      </w:pPr>
      <w:r>
        <w:rPr>
          <w:rFonts w:ascii="Times New Roman" w:hAnsi="Times New Roman"/>
          <w:sz w:val="24"/>
          <w:szCs w:val="24"/>
        </w:rPr>
        <w:t>- rekreacyjno-wypoczynkowych z wyłączeniem kurhanów, pomników przyrody oraz    terenów zieleni nieurządzonej niezaliczonej do lasów oraz gruntów zadrzewionych      i zakrzewionych,</w:t>
      </w:r>
    </w:p>
    <w:p w:rsidR="00387A9E" w:rsidRDefault="00387A9E" w:rsidP="00A81233">
      <w:pPr>
        <w:spacing w:after="0"/>
        <w:ind w:firstLine="708"/>
        <w:jc w:val="both"/>
        <w:rPr>
          <w:rFonts w:ascii="Times New Roman" w:hAnsi="Times New Roman"/>
          <w:sz w:val="24"/>
          <w:szCs w:val="24"/>
        </w:rPr>
      </w:pPr>
      <w:r>
        <w:rPr>
          <w:rFonts w:ascii="Times New Roman" w:hAnsi="Times New Roman"/>
          <w:sz w:val="24"/>
          <w:szCs w:val="24"/>
        </w:rPr>
        <w:t xml:space="preserve">Na podstawie zgromadzonej w przedmiotowej sprawie dokumentacji stwierdzono, że analizowane zamierzenie polega na budowie nowego obiektu inwentarskiego – obory, przeznaczonej do chowu bydła mlecznego w systemie głębokiej ściółki, na działce o nr ewid. 102 w miejscowości Bierzgłowo. Powierzchnia zabudowy planowanego obiektu inwentarskiego – obory wyniesie </w:t>
      </w:r>
      <w:smartTag w:uri="urn:schemas-microsoft-com:office:smarttags" w:element="metricconverter">
        <w:smartTagPr>
          <w:attr w:name="ProductID" w:val="900 m²"/>
        </w:smartTagPr>
        <w:r>
          <w:rPr>
            <w:rFonts w:ascii="Times New Roman" w:hAnsi="Times New Roman"/>
            <w:sz w:val="24"/>
            <w:szCs w:val="24"/>
          </w:rPr>
          <w:t>900 m²</w:t>
        </w:r>
      </w:smartTag>
      <w:r>
        <w:rPr>
          <w:rFonts w:ascii="Times New Roman" w:hAnsi="Times New Roman"/>
          <w:sz w:val="24"/>
          <w:szCs w:val="24"/>
        </w:rPr>
        <w:t xml:space="preserve">, natomiast powierzchnia hodowlana stanowić będzie ok. </w:t>
      </w:r>
      <w:smartTag w:uri="urn:schemas-microsoft-com:office:smarttags" w:element="metricconverter">
        <w:smartTagPr>
          <w:attr w:name="ProductID" w:val="750 m²"/>
        </w:smartTagPr>
        <w:r>
          <w:rPr>
            <w:rFonts w:ascii="Times New Roman" w:hAnsi="Times New Roman"/>
            <w:sz w:val="24"/>
            <w:szCs w:val="24"/>
          </w:rPr>
          <w:t>750 m²</w:t>
        </w:r>
      </w:smartTag>
      <w:r>
        <w:rPr>
          <w:rFonts w:ascii="Times New Roman" w:hAnsi="Times New Roman"/>
          <w:sz w:val="24"/>
          <w:szCs w:val="24"/>
        </w:rPr>
        <w:t xml:space="preserve">. Budynek wyposażony zostanie dodatkowo w zaplecze socjalno- bytowe, pomieszczenia magazynowe i gospodarcze. W ramach realizacji inwestycji przewiduje się również budowę płyty obornikowej o powierzchni ok. </w:t>
      </w:r>
      <w:smartTag w:uri="urn:schemas-microsoft-com:office:smarttags" w:element="metricconverter">
        <w:smartTagPr>
          <w:attr w:name="ProductID" w:val="200 m²"/>
        </w:smartTagPr>
        <w:r>
          <w:rPr>
            <w:rFonts w:ascii="Times New Roman" w:hAnsi="Times New Roman"/>
            <w:sz w:val="24"/>
            <w:szCs w:val="24"/>
          </w:rPr>
          <w:t>200 m²</w:t>
        </w:r>
      </w:smartTag>
      <w:r>
        <w:rPr>
          <w:rFonts w:ascii="Times New Roman" w:hAnsi="Times New Roman"/>
          <w:sz w:val="24"/>
          <w:szCs w:val="24"/>
        </w:rPr>
        <w:t xml:space="preserve">, zbiornika na gnojówkę przy płycie obornikowej o pojemności ok. </w:t>
      </w:r>
      <w:smartTag w:uri="urn:schemas-microsoft-com:office:smarttags" w:element="metricconverter">
        <w:smartTagPr>
          <w:attr w:name="ProductID" w:val="15 m³"/>
        </w:smartTagPr>
        <w:r>
          <w:rPr>
            <w:rFonts w:ascii="Times New Roman" w:hAnsi="Times New Roman"/>
            <w:sz w:val="24"/>
            <w:szCs w:val="24"/>
          </w:rPr>
          <w:t>15 m³</w:t>
        </w:r>
      </w:smartTag>
      <w:r>
        <w:rPr>
          <w:rFonts w:ascii="Times New Roman" w:hAnsi="Times New Roman"/>
          <w:sz w:val="24"/>
          <w:szCs w:val="24"/>
        </w:rPr>
        <w:t xml:space="preserve"> oraz utwardzenie terenu o powierzchni ok.        </w:t>
      </w:r>
      <w:smartTag w:uri="urn:schemas-microsoft-com:office:smarttags" w:element="metricconverter">
        <w:smartTagPr>
          <w:attr w:name="ProductID" w:val="200 m²"/>
        </w:smartTagPr>
        <w:r>
          <w:rPr>
            <w:rFonts w:ascii="Times New Roman" w:hAnsi="Times New Roman"/>
            <w:sz w:val="24"/>
            <w:szCs w:val="24"/>
          </w:rPr>
          <w:t>200 m²</w:t>
        </w:r>
      </w:smartTag>
      <w:r>
        <w:rPr>
          <w:rFonts w:ascii="Times New Roman" w:hAnsi="Times New Roman"/>
          <w:sz w:val="24"/>
          <w:szCs w:val="24"/>
        </w:rPr>
        <w:t>.</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Aktualnie na przedmiotowej działce znajdują się budynki inwentarsko-gospodarcze. Mając na celu poprawę dobrostanu zwierząt, w ramach realizacji inwestycji Inwestor planuje przeniesienie bydła z istniejących budynków do nowoprojektowanego obiektu oraz rozbiórkę istniejących budynków inwentarsko-gospodarczych. Po wybudowaniu nowej obory łączna obsada zwierząt na terenie gospodarstwa wyniesie 85 szt. bydła (krowy, jałówki, cielęta), stanowiących wielkość nieprzekraczalna - 55,5 DJP.</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Teren będący przedmiotem opracowania nie jest objęty ustaleniami obowiązującego miejscowego planu zagospodarowania przestrzennego. Gospodarstwo Inwestora                      w miejscowości Bierzgłowo znajduje się na terenach typowo wiejskich, intensywnie użytkowanych rolniczo. W rejonie przedsięwzięcia znajduje się zabudowa zagrodowa skupiona głównie wzdłuż drogi nr 546, a najbliższa zabudowa chroniona akustycznie znajduje się w odległościach:</w:t>
      </w:r>
    </w:p>
    <w:p w:rsidR="00387A9E" w:rsidRDefault="00387A9E" w:rsidP="00FD5F86">
      <w:pPr>
        <w:spacing w:after="0"/>
        <w:ind w:left="708" w:firstLine="1"/>
        <w:jc w:val="both"/>
        <w:rPr>
          <w:rFonts w:ascii="Times New Roman" w:hAnsi="Times New Roman"/>
          <w:sz w:val="24"/>
          <w:szCs w:val="24"/>
        </w:rPr>
      </w:pPr>
      <w:r>
        <w:rPr>
          <w:rFonts w:ascii="Times New Roman" w:hAnsi="Times New Roman"/>
          <w:sz w:val="24"/>
          <w:szCs w:val="24"/>
        </w:rPr>
        <w:t>- ok. 30,0 m (na dz. o nr ewid. 90/2 obręb Bierzgłowo), w kierunku zachodnim,</w:t>
      </w:r>
    </w:p>
    <w:p w:rsidR="00387A9E" w:rsidRDefault="00387A9E" w:rsidP="00FD5F86">
      <w:pPr>
        <w:spacing w:after="0"/>
        <w:ind w:left="708" w:firstLine="1"/>
        <w:jc w:val="both"/>
        <w:rPr>
          <w:rFonts w:ascii="Times New Roman" w:hAnsi="Times New Roman"/>
          <w:sz w:val="24"/>
          <w:szCs w:val="24"/>
        </w:rPr>
      </w:pPr>
      <w:r>
        <w:rPr>
          <w:rFonts w:ascii="Times New Roman" w:hAnsi="Times New Roman"/>
          <w:sz w:val="24"/>
          <w:szCs w:val="24"/>
        </w:rPr>
        <w:t>- ok. 40,0 m (na dz. o nr ewid. 104/5 obręb Bierzgłowo), w kierunku wschodnim,</w:t>
      </w:r>
    </w:p>
    <w:p w:rsidR="00387A9E" w:rsidRDefault="00387A9E" w:rsidP="00FD5F86">
      <w:pPr>
        <w:spacing w:after="0"/>
        <w:ind w:left="708" w:firstLine="1"/>
        <w:jc w:val="both"/>
        <w:rPr>
          <w:rFonts w:ascii="Times New Roman" w:hAnsi="Times New Roman"/>
          <w:sz w:val="24"/>
          <w:szCs w:val="24"/>
        </w:rPr>
      </w:pPr>
      <w:r>
        <w:rPr>
          <w:rFonts w:ascii="Times New Roman" w:hAnsi="Times New Roman"/>
          <w:sz w:val="24"/>
          <w:szCs w:val="24"/>
        </w:rPr>
        <w:t>- ok. 60,0 m (na dz. o nr ewid.: 81/1 oraz 81/5 obręb Bierzgłowo), w kierunku północno-wschodnim od przedmiotowego zamierzenia,</w:t>
      </w:r>
    </w:p>
    <w:p w:rsidR="00387A9E" w:rsidRDefault="00387A9E" w:rsidP="00FD5F86">
      <w:pPr>
        <w:spacing w:after="0"/>
        <w:ind w:firstLine="708"/>
        <w:jc w:val="both"/>
        <w:rPr>
          <w:rFonts w:ascii="Times New Roman" w:hAnsi="Times New Roman"/>
          <w:sz w:val="24"/>
          <w:szCs w:val="24"/>
        </w:rPr>
      </w:pPr>
      <w:r>
        <w:rPr>
          <w:rFonts w:ascii="Times New Roman" w:hAnsi="Times New Roman"/>
          <w:sz w:val="24"/>
          <w:szCs w:val="24"/>
        </w:rPr>
        <w:t>W sąsiedztwie przedsięwzięcia znajdują się wyłącznie drobnotowarowe gospodarstwa rolne, w tym:</w:t>
      </w:r>
    </w:p>
    <w:p w:rsidR="00387A9E" w:rsidRDefault="00387A9E" w:rsidP="00111FD7">
      <w:pPr>
        <w:spacing w:after="0"/>
        <w:ind w:left="708"/>
        <w:jc w:val="both"/>
        <w:rPr>
          <w:rFonts w:ascii="Times New Roman" w:hAnsi="Times New Roman"/>
          <w:sz w:val="24"/>
          <w:szCs w:val="24"/>
        </w:rPr>
      </w:pPr>
      <w:r>
        <w:rPr>
          <w:rFonts w:ascii="Times New Roman" w:hAnsi="Times New Roman"/>
          <w:sz w:val="24"/>
          <w:szCs w:val="24"/>
        </w:rPr>
        <w:t>- w odległości ok. 30 m (na dz. o nr ewid. 90/2 obręb Bierzgłowo) – ok. 40 szt. bydła,</w:t>
      </w:r>
    </w:p>
    <w:p w:rsidR="00387A9E" w:rsidRDefault="00387A9E" w:rsidP="00111FD7">
      <w:pPr>
        <w:spacing w:after="0"/>
        <w:ind w:left="708"/>
        <w:jc w:val="both"/>
        <w:rPr>
          <w:rFonts w:ascii="Times New Roman" w:hAnsi="Times New Roman"/>
          <w:sz w:val="24"/>
          <w:szCs w:val="24"/>
        </w:rPr>
      </w:pPr>
      <w:r>
        <w:rPr>
          <w:rFonts w:ascii="Times New Roman" w:hAnsi="Times New Roman"/>
          <w:sz w:val="24"/>
          <w:szCs w:val="24"/>
        </w:rPr>
        <w:t>- w odległości ok. 40 m (na dz. o nr ewid. 104/5 obręb Bierzgłowo) – 1 szt. bydła           i ptactwo domowe,</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 w odległości ok. 70 m od planowanej inwestycji znajduje się zbiornik wodny o powierzchni ok. 1000 m². Należy w ramach inwestycji przewidzieć rozwiązanie techniczne zabezpieczające zbiornik wodny przed spływem do niego odcieków            z gospodarstwa</w:t>
      </w:r>
    </w:p>
    <w:p w:rsidR="00387A9E" w:rsidRDefault="00387A9E" w:rsidP="00DF1108">
      <w:pPr>
        <w:spacing w:after="0"/>
        <w:ind w:firstLine="708"/>
        <w:jc w:val="both"/>
        <w:rPr>
          <w:rFonts w:ascii="Times New Roman" w:hAnsi="Times New Roman"/>
          <w:sz w:val="24"/>
          <w:szCs w:val="24"/>
        </w:rPr>
      </w:pPr>
      <w:r>
        <w:rPr>
          <w:rFonts w:ascii="Times New Roman" w:hAnsi="Times New Roman"/>
          <w:sz w:val="24"/>
          <w:szCs w:val="24"/>
        </w:rPr>
        <w:t>Zamierzenie z uwagi na lokalizację nie będzie miało wpływu na różnorodność biologiczną.</w:t>
      </w:r>
    </w:p>
    <w:p w:rsidR="00387A9E" w:rsidRDefault="00387A9E" w:rsidP="00DF1108">
      <w:pPr>
        <w:spacing w:after="0"/>
        <w:ind w:firstLine="708"/>
        <w:jc w:val="both"/>
        <w:rPr>
          <w:rFonts w:ascii="Times New Roman" w:hAnsi="Times New Roman"/>
          <w:sz w:val="24"/>
          <w:szCs w:val="24"/>
        </w:rPr>
      </w:pPr>
    </w:p>
    <w:p w:rsidR="00387A9E" w:rsidRDefault="00387A9E" w:rsidP="00FD5F86">
      <w:pPr>
        <w:spacing w:after="0"/>
        <w:ind w:firstLine="708"/>
        <w:jc w:val="both"/>
        <w:rPr>
          <w:rFonts w:ascii="Times New Roman" w:hAnsi="Times New Roman"/>
          <w:sz w:val="24"/>
          <w:szCs w:val="24"/>
        </w:rPr>
      </w:pPr>
      <w:r>
        <w:rPr>
          <w:rFonts w:ascii="Times New Roman" w:hAnsi="Times New Roman"/>
          <w:sz w:val="24"/>
          <w:szCs w:val="24"/>
        </w:rPr>
        <w:t>Hałas na etapie użytkowania przedsięwzięcia związany będzie z pracą maszyn               i urządzeń wykorzystywanych przy produkcji zwierzęcej, a także z ruchem pojazdów poruszających się na terenie gospodarstwa. Emisja gazów i pyłów do powietrza wiązać się będzie z emisją pyłu, substancji gazowych z obiektu, a także z pojazdów związanych                z obsługą budynku.</w:t>
      </w:r>
    </w:p>
    <w:p w:rsidR="00387A9E" w:rsidRDefault="00387A9E" w:rsidP="00A81233">
      <w:pPr>
        <w:spacing w:after="0"/>
        <w:ind w:firstLine="708"/>
        <w:jc w:val="both"/>
        <w:rPr>
          <w:rFonts w:ascii="Times New Roman" w:hAnsi="Times New Roman"/>
          <w:sz w:val="24"/>
          <w:szCs w:val="24"/>
        </w:rPr>
      </w:pPr>
      <w:r>
        <w:rPr>
          <w:rFonts w:ascii="Times New Roman" w:hAnsi="Times New Roman"/>
          <w:sz w:val="24"/>
          <w:szCs w:val="24"/>
        </w:rPr>
        <w:t>Przewiduje się, iż poziom hałasu spowodowany funkcjonowaniem przedmiotowej obory, nie będzie uciążliwy dla otoczenia, a zasięg uciążliwości spowodowanej emisją hałasu nie powinien powodować przekroczenia norm dla najbliższej zabudowy zagrodowej.</w:t>
      </w:r>
    </w:p>
    <w:p w:rsidR="00387A9E" w:rsidRDefault="00387A9E" w:rsidP="00A81233">
      <w:pPr>
        <w:spacing w:after="0"/>
        <w:ind w:firstLine="708"/>
        <w:jc w:val="both"/>
        <w:rPr>
          <w:rFonts w:ascii="Times New Roman" w:hAnsi="Times New Roman"/>
          <w:sz w:val="24"/>
          <w:szCs w:val="24"/>
        </w:rPr>
      </w:pPr>
      <w:r>
        <w:rPr>
          <w:rFonts w:ascii="Times New Roman" w:hAnsi="Times New Roman"/>
          <w:sz w:val="24"/>
          <w:szCs w:val="24"/>
        </w:rPr>
        <w:t xml:space="preserve">W odniesieniu do uwarunkowań wymienionych w art. 63 ust. 1 pkt 2  uouioś na przedmiotowym terenie nie występują obszary wodno – błotne o płytkim zaleganiu wód podziemnych, w tym siedliska łęgowe, ujścia rzek, wybrzeży i środowiska morskiego. Omawiana nieruchomość nie znajduje się na obszarach górskich lub leśnych, przylegających do jezior, stref ochronnych ujęć wód, obszarach wymagających specjalnej ochrony ze względu na występowanie gatunków roślin, grzybów i zwierząt lub ich siedlisk lub siedlisk przyrodniczych objętych ochroną, w tym obszary Natura 2000, oraz pozostałe formy ochrony przyrody. Ponadto, analizowana działka nie należy do obszarów, na których standardy jakości środowiska zostały przekroczone lub istnieje prawdopodobieństwo ich przekroczenia,              o krajobrazie mającym znaczenie historyczne, kulturowe lub archeologiczne, jak również ochrony uzdrowiskowej. Inwestycja znajduje się w terenie o małej gęstości zaludnienia. </w:t>
      </w:r>
      <w:r>
        <w:rPr>
          <w:rFonts w:ascii="Times New Roman" w:hAnsi="Times New Roman"/>
          <w:sz w:val="24"/>
          <w:szCs w:val="24"/>
        </w:rPr>
        <w:tab/>
        <w:t>Omawiany teren znajduje się na obszarze Głównego Zbiornika Wód Podziemnych nr 141 „Zbiornik rzeki dolna Wisła”.</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Najbliższe ujęcie wód podziemnych znajduje się w odległości ponad 0,5 km od projektowanego obiektu inwentarskiego.</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Przedmiotowa inwestycja zlokalizowana jest w obszarze dorzecza Wisły, zgodnie        z rozporządzeniem Rady Ministrów z dnia 18 października 2016 r. w sprawie Planu gospodarowania wodami na obszarze dorzecza Wisły (Dz. U. z 2016 r., poz. 1911).</w:t>
      </w:r>
      <w:r>
        <w:rPr>
          <w:rFonts w:ascii="Times New Roman" w:hAnsi="Times New Roman"/>
          <w:sz w:val="24"/>
          <w:szCs w:val="24"/>
        </w:rPr>
        <w:tab/>
      </w:r>
      <w:r>
        <w:rPr>
          <w:rFonts w:ascii="Times New Roman" w:hAnsi="Times New Roman"/>
          <w:sz w:val="24"/>
          <w:szCs w:val="24"/>
        </w:rPr>
        <w:tab/>
        <w:t>Zamierzenie znajduje się w obszarze jednolitej części wód podziemnych oznaczonych europejskim kodem PLGW200039, zaliczonym do regionu wodnego Dolnej Wisły. Zgodnie   z ww. rozporządzeniem Rady Ministrów z dnia 18 października 2016 r. w sprawie Planu gospodarowania wodami na obszarze dorzecza Wisły, stan ilościowy i chemiczny tej JCWPd oceniono jako dobry. Rozpatrywana jednolita część wód podziemnych nie jest zagrożona ryzykiem nieosiągnięcia celów środowiskowych, tj. utrzymania co najmniej dobrego stanu ilości0wego i chemicznego wód podziemnych.</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W celu ograniczenia negatywnego oddziaływania zamierzenia na środowisko gruntowo-wodne w trakcie realizacji inwestycji, prace budowlane przeprowadzone będą        w oparciu o sprzęt sprawny technicznie, dopuszczony do eksploatacji i posiadający aktualne przeglądy techniczne. Czynności usuwania drobnych awarii, wykonywane będą jedynie w miejscach do tego wyznaczonych i przystosowanych. Ponadto, plac budowy wyposażony zostanie np. w sorbenty do neutralizacji ewentualnych wycieków substancji ropopochodnych. </w:t>
      </w:r>
      <w:r>
        <w:rPr>
          <w:rFonts w:ascii="Times New Roman" w:hAnsi="Times New Roman"/>
          <w:sz w:val="24"/>
          <w:szCs w:val="24"/>
        </w:rPr>
        <w:tab/>
        <w:t>Etap realizacji przedsięwzięcia wiąże się z wystąpieniem źródeł hałasu pochodzącego z pracy maszyn wykorzystywanych przy tego typu robotach budowlanych. Emisja niezorganizowana zanieczyszczeń do powietrza będzie związana z prowadzeniem prac ziemnych, a także z ruchem pojazdów i maszyn. Dla zminimalizowania ww. uciążliwości, wszystkie prace zostaną wykonane wyłącznie w porze dziennej.</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Odpady powstałe na etapie realizacji i eksploatacji będą magazynowane w sposób selektywny, zgodnie z przepisami ustawy z dnia 14 grudnia 2012 r. o odpadach (Dz. U.           z 2018 r., poz. 992 ze zm.).</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Sztuki padłe lub ubite z konieczności do czasu odbioru przez uprawniony podmiot, planuje się magazynować w wydzielonym pomieszczeniu magazynowym (z niską temperaturą), w planowanym budynku inwentarskim.</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W przypadku sytuacji odbiegającej od warunków normalnych, m.in. występowania choroby powodującej w skrajnym przypadku likwidację stada, prowadzący instalację będzie postępował ściśle według wskazań Powiatowego Lekarza Weterynarii oraz obowiązujących   w tym zakresie przepisów prawa.</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Działalność przedmiotowego gospodarstwa będzie wiązała się z wykorzystaniem zasobów naturalnych w postaci wody pobieranej z gminnej sieci wodociągowej oraz energii elektrycznej dostarczanej z istniejącego przyłącza energetycznego. Woda zużywana będzie na cele socjalno-bytowe oraz technologiczne, tj. do pojenia zwierząt, mycie urządzeń do dojenia oraz zbiorników mleka, a także mycia pomieszczeń inwentarskich. Mycie budynku inwentarskiego prowadzone będzie z wykorzystaniem myjki wysokociścieniowej oraz ewentualnie przy użyciu środków biodegradowalnych.</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Wody opadowe i roztopowe z połaci dachowych odprowadzane będą do gruntu.        W celu ochrony gruntu, wód gruntowych i podziemnych, budynek inwentarski posiadał będzie szczelne, betonowe podłoże. Chów zwierząt będzie się odbywał wyłącznie w obrębie obiektu inwentarskiego.</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Zgodnie z art. 102 ustawy z dnia 20 lipca 2017 r. Prawo wodne (Dz. U. z 2017 r., poz. 1566 ze zm.) produkcję rolną, w tym działy specjalne produkcji rolnej, oraz działalność,        w ramach której są przechowywane odchody zwierzęce lub stosowane nawozy, prowadzi się w sposób zapobiegający zanieczyszczeniu wód azotanami pochodzącymi ze źródeł rolniczych i ograniczający takie zanieczyszczenie. Art. 107 ww. ustawy obliguje podmioty prowadzące produkcje rolną do stosowania programu działań związanych z ograniczaniem zanieczyszczenia wód azotanami pochodzącymi ze źródeł rolniczych.</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Zamierzenie nie będzie negatywnie oddziaływać na wody podziemne                            i powierzchniowe, pod warunkiem przestrzegania przepisów związanych z warunkami zagospodarowania nawozów naturalnych, określonych w ww. ustawie o nawozach                   i nawożeniu oraz Kodeksie Dobrej Praktyki Rolniczej, z zachowaniem dawki nie przekraczającej 170 kg azotu na 1 ha użytków rolnych. Jednocześnie, Inwestor zapewni prawidłową gospodarkę odpadami, zgodnie z aktualnie obowiązującymi przepisami w tym zakresie.</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Obornik planuje się magazynować na szczelnej, żelbetonowej płycie obornikowej        o zakładanej powierzchni ok. 200 m² oraz szczelnym zbiorniku na gnojówkę o pojemności ok. 15 m³. W Karcie Informacyjnej Przedsięwzięcia wskazano, że w ciągu roku na terenie gospodarstwa powstanie 1120 ton obornika o zawartości azotu 5462 kg. W związku                z powyższym, uwzględniając maksymalną dawkę 170 kg N/ha użytków rolnych, do zagospodarowania powstałej gnojowicy niezbędny jest areał ok. 32,1 ha. Inwestor dysponuje gruntami rolnymi o powierzchni ok. 14,8 ha. W związku z powyższym, gnojowica zagospodarowana zostanie na gruntach własnych, zgodnie z przepisami zawartymi  w ustawie z dnia 10 lipca 2007 r. o nawozach i nawożeniu (Dz. U. z 2018 r., poz. 1259 j.t.) oraz Kodeksie Dobrej Praktyki Rolniczej. Nadwyżki przekazane zostaną innym podmiotom.</w:t>
      </w:r>
      <w:r>
        <w:rPr>
          <w:rFonts w:ascii="Times New Roman" w:hAnsi="Times New Roman"/>
          <w:sz w:val="24"/>
          <w:szCs w:val="24"/>
        </w:rPr>
        <w:tab/>
      </w:r>
      <w:r>
        <w:rPr>
          <w:rFonts w:ascii="Times New Roman" w:hAnsi="Times New Roman"/>
          <w:sz w:val="24"/>
          <w:szCs w:val="24"/>
        </w:rPr>
        <w:tab/>
        <w:t>Prawidłowa eksploatacja zamierzenia nie spowoduje zmian jakościowych wód powierzchniowych. Ze względu na pobór wody z istniejącej sieci wodociągowej, zastosowaniu szczelnych zbiorników podziemnych na ścieki technologiczne i prawidłową gospodarkę nawozową, w tym magazynowanie ich na szczelnej płycie obornikowej, nie wystąpi zanieczyszczenie środowiska wodnego ściekami.</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Z uwagi na rodzaj, zakres i lokalizację przedsięwzięcia stwierdza się, że jego realizacja i eksploatacja nie wpłynie na ryzyko nieosiągnięcia celów środowiskowych zawartych w planie gospodarowania wodami na obszarze dorzecza Wisły.</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Planowana inwestycja spowoduje emisję pyłu oraz substancji gazowych (głównie amoniaku i siarkowodorów).</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W celu ograniczenia emisji substancji odorotwórczych Inwestor przewiduje: utrzymać wysoki poziom higieny pomieszczeń inwentarskich, poprzez okresowe czyszczenie oraz dezynfekcję sprzętu i pomieszczeń dla zwierząt, stosować żywienie odpowiednio dobrane do kondycji wieku stada. Ponadto wokół gospodarstwa zastosowana będzie zieleń izolacyjna:</w:t>
      </w:r>
      <w:r>
        <w:rPr>
          <w:rFonts w:ascii="Times New Roman" w:hAnsi="Times New Roman"/>
          <w:sz w:val="24"/>
          <w:szCs w:val="24"/>
        </w:rPr>
        <w:tab/>
        <w:t>- od strony północnej: istniejący pas zieleni wysokiej o długości ok. 50 m,</w:t>
      </w:r>
    </w:p>
    <w:p w:rsidR="00387A9E" w:rsidRDefault="00387A9E" w:rsidP="00A81233">
      <w:pPr>
        <w:spacing w:after="0"/>
        <w:ind w:firstLine="708"/>
        <w:jc w:val="both"/>
        <w:rPr>
          <w:rFonts w:ascii="Times New Roman" w:hAnsi="Times New Roman"/>
          <w:sz w:val="24"/>
          <w:szCs w:val="24"/>
        </w:rPr>
      </w:pPr>
      <w:r>
        <w:rPr>
          <w:rFonts w:ascii="Times New Roman" w:hAnsi="Times New Roman"/>
          <w:sz w:val="24"/>
          <w:szCs w:val="24"/>
        </w:rPr>
        <w:t>- od strony wschodniej: istniejący pas zieleni o długości ok. 50 m,</w:t>
      </w:r>
    </w:p>
    <w:p w:rsidR="00387A9E" w:rsidRDefault="00387A9E" w:rsidP="00A81233">
      <w:pPr>
        <w:spacing w:after="0"/>
        <w:ind w:firstLine="708"/>
        <w:jc w:val="both"/>
        <w:rPr>
          <w:rFonts w:ascii="Times New Roman" w:hAnsi="Times New Roman"/>
          <w:sz w:val="24"/>
          <w:szCs w:val="24"/>
        </w:rPr>
      </w:pPr>
      <w:r>
        <w:rPr>
          <w:rFonts w:ascii="Times New Roman" w:hAnsi="Times New Roman"/>
          <w:sz w:val="24"/>
          <w:szCs w:val="24"/>
        </w:rPr>
        <w:t>- od strony południowej: istniejący pas zieleni wysokiej o długości ok. 50 m,</w:t>
      </w:r>
    </w:p>
    <w:p w:rsidR="00387A9E" w:rsidRDefault="00387A9E" w:rsidP="00A81233">
      <w:pPr>
        <w:spacing w:after="0"/>
        <w:ind w:firstLine="708"/>
        <w:jc w:val="both"/>
        <w:rPr>
          <w:rFonts w:ascii="Times New Roman" w:hAnsi="Times New Roman"/>
          <w:sz w:val="24"/>
          <w:szCs w:val="24"/>
        </w:rPr>
      </w:pPr>
      <w:r>
        <w:rPr>
          <w:rFonts w:ascii="Times New Roman" w:hAnsi="Times New Roman"/>
          <w:sz w:val="24"/>
          <w:szCs w:val="24"/>
        </w:rPr>
        <w:t>- od strony zachodniej: planowany pas zieleni wysokiej o długości ok. 50 m,</w:t>
      </w:r>
    </w:p>
    <w:p w:rsidR="00387A9E" w:rsidRDefault="00387A9E" w:rsidP="00A81233">
      <w:pPr>
        <w:spacing w:after="0"/>
        <w:ind w:firstLine="708"/>
        <w:jc w:val="both"/>
        <w:rPr>
          <w:rFonts w:ascii="Times New Roman" w:hAnsi="Times New Roman"/>
          <w:sz w:val="24"/>
          <w:szCs w:val="24"/>
        </w:rPr>
      </w:pPr>
      <w:r>
        <w:rPr>
          <w:rFonts w:ascii="Times New Roman" w:hAnsi="Times New Roman"/>
          <w:sz w:val="24"/>
          <w:szCs w:val="24"/>
        </w:rPr>
        <w:t>Na etapie eksploatacji głównymi źródłami emisji hałasu do środowiska będzie praca maszyn i urządzeń wykorzystywanych przy produkcji zwierzęcej, a także ruch pojazdów poruszających się na terenie gospodarstwa. W planowanej oborze zastosowana zostanie wentylacja grawitacyjna. Dodatkowo, w celu ograniczenia emisji hałasu, agregat chłodniczy zainstalowany zostanie na ścianie obiektu inwentarskiego od strony południowej. Prace eksploatacyjne uciążliwe pod względem emisji hałasu, takie jak np. transport odpadów, nawozów, realizowane będą wyłącznie w porze dziennej (6:00-22:00).</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Po zrealizowaniu planowanego przedsięwzięcia emisja hałasu od źródeł zlokalizowanych na terenie gospodarstwa nie spowoduje przekroczeń dopuszczalnego poziomu hałasu na granicach terenów chronionych akustycznie.</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W związku z powyższym, nie przewiduje się ponad normatywnego oddziaływania na etapie realizacji i eksploatacji na poszczególne elementy środowiska takie jak: panujący klimat akustyczny i powietrze oraz wody  powierzchniowe i podziemne.</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Planowane przedsięwzięcie będzie zlokalizowane poza obszarami chronionymi           w myśl ustawy z dnia 16 kwietnia 2004 roku o ochronie przyrody (Dz. U. z 2018 r., poz. 142 ze zm.), w tym poza wyznaczonymi, mającymi znaczenie dla Wspólnoty i projektowanymi przekazami do Komisji Europejskiej obszarami Natura 2000.</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Na przedmiotowej działce znajduje się gospodarstwo rolne z 8 budynkami gospodarczymi przeznaczonymi do rozbiórki oraz budynkiem mieszkalnym, którego inwestycja nie obejmuje.</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W bezpośrednim sąsiedztwie omawianej inwestycji (działka ewidencyjna nr 103) znajduje się zbiornik stanowiący potencjalne siedlisko płazów w związku z czym, celem wyeliminowania zagrożenia zabijania małych zwierząt, należy kontrolować wykopy oraz przenosić uwięzione w nich zwierzęta w miejsca zapewniające dalszą bezpieczną wędrówkę. </w:t>
      </w:r>
      <w:r>
        <w:rPr>
          <w:rFonts w:ascii="Times New Roman" w:hAnsi="Times New Roman"/>
          <w:sz w:val="24"/>
          <w:szCs w:val="24"/>
        </w:rPr>
        <w:tab/>
        <w:t>Realizacja inwestycji wymaga usunięcia 4 drzew owocowych oraz rozbiórki 8 budynków gospodarskich. Rozbiórka budynków oraz wycinka drzew i krzewów zostanie przeprowadzona poza okresem lęgowym ptaków lub po potwierdzeniu braku aktywnych lęgów w ich obrębie w celu wyeliminowania zagrożenia niszczenia jaj lub zabijania piskląt.</w:t>
      </w:r>
      <w:r>
        <w:rPr>
          <w:rFonts w:ascii="Times New Roman" w:hAnsi="Times New Roman"/>
          <w:sz w:val="24"/>
          <w:szCs w:val="24"/>
        </w:rPr>
        <w:tab/>
        <w:t>Realizacja planowanego zamierzenia przy przyjętym rozwiązaniu lokalizacji nie wymaga naruszania cennych siedlisk przyrodniczych i ich przekształcania, zajęcia siedlisk wrażliwych.</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Na podstawie przeprowadzonej analizy przedłożonej dokumentacji, w tym KIP ustalono, że realizacja i eksploatacja inwestycji nie będzie skutkować niekorzystnym wpływem na środowisko przyrodnicze i krajobraz, a przyjęte działania minimalizujące wyeliminują zidentyfikowane zagrożenia względem stwierdzonych elementów środowiska przyrodniczego.</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W przypadku jeśli skutkiem robót budowlanych bądź innych prac związanych              z realizacją zamierzenia będzie podjęcie czynności objętych zakazami względem gatunków chronionych zwierząt, roślin oraz grzybów, wynikającymi z art. 51 i art. 52 ww. ustawy         z dnia 16 kwietnia 2004 roku o ochronie przyrody, np.:</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w odniesieni do zwierząt objętych ochroną gatunkową – niszczenie ich siedlisk lub</w:t>
      </w:r>
      <w:r>
        <w:rPr>
          <w:rFonts w:ascii="Times New Roman" w:hAnsi="Times New Roman"/>
          <w:sz w:val="24"/>
          <w:szCs w:val="24"/>
        </w:rPr>
        <w:tab/>
        <w:t xml:space="preserve"> ostoi, będących obszarem rozrodu, wychowu młodych, odpoczynku, migracji lub</w:t>
      </w:r>
      <w:r>
        <w:rPr>
          <w:rFonts w:ascii="Times New Roman" w:hAnsi="Times New Roman"/>
          <w:sz w:val="24"/>
          <w:szCs w:val="24"/>
        </w:rPr>
        <w:tab/>
        <w:t xml:space="preserve"> żerowania, jak również niszczenie, usuwanie uszkadzanie gniazd, mrowisk, nor,</w:t>
      </w:r>
      <w:r>
        <w:rPr>
          <w:rFonts w:ascii="Times New Roman" w:hAnsi="Times New Roman"/>
          <w:sz w:val="24"/>
          <w:szCs w:val="24"/>
        </w:rPr>
        <w:tab/>
      </w:r>
      <w:r>
        <w:rPr>
          <w:rFonts w:ascii="Times New Roman" w:hAnsi="Times New Roman"/>
          <w:sz w:val="24"/>
          <w:szCs w:val="24"/>
        </w:rPr>
        <w:tab/>
        <w:t xml:space="preserve"> lęgowisk, żeremi, tam, tarlisk, zimowisk lub innych schronień,</w:t>
      </w:r>
    </w:p>
    <w:p w:rsidR="00387A9E" w:rsidRDefault="00387A9E" w:rsidP="00A81233">
      <w:pPr>
        <w:spacing w:after="0"/>
        <w:ind w:firstLine="708"/>
        <w:jc w:val="both"/>
        <w:rPr>
          <w:rFonts w:ascii="Times New Roman" w:hAnsi="Times New Roman"/>
          <w:sz w:val="24"/>
          <w:szCs w:val="24"/>
        </w:rPr>
      </w:pPr>
      <w:r>
        <w:rPr>
          <w:rFonts w:ascii="Times New Roman" w:hAnsi="Times New Roman"/>
          <w:sz w:val="24"/>
          <w:szCs w:val="24"/>
        </w:rPr>
        <w:t>- w odniesieniu do grzybów i roślin – umyślne niszczenie osobników oraz niszczenie</w:t>
      </w:r>
      <w:r>
        <w:rPr>
          <w:rFonts w:ascii="Times New Roman" w:hAnsi="Times New Roman"/>
          <w:sz w:val="24"/>
          <w:szCs w:val="24"/>
        </w:rPr>
        <w:tab/>
        <w:t xml:space="preserve"> siedlisk lub ostoi roślin i grzybów,</w:t>
      </w:r>
    </w:p>
    <w:p w:rsidR="00387A9E" w:rsidRPr="000D5AF3" w:rsidRDefault="00387A9E" w:rsidP="000D5AF3">
      <w:pPr>
        <w:spacing w:after="0"/>
        <w:ind w:firstLine="708"/>
        <w:jc w:val="both"/>
        <w:rPr>
          <w:rFonts w:ascii="Times New Roman" w:hAnsi="Times New Roman"/>
          <w:sz w:val="24"/>
          <w:szCs w:val="24"/>
        </w:rPr>
      </w:pPr>
      <w:r>
        <w:rPr>
          <w:rFonts w:ascii="Times New Roman" w:hAnsi="Times New Roman"/>
          <w:sz w:val="24"/>
          <w:szCs w:val="24"/>
        </w:rPr>
        <w:t>Inwestor lub wykonawca są zobowiązani do uzyskania zgody na wykonanie czynności polegających zakazom na zasadach określonych w art. 56 ww. ustawy z dnia 16 kwietnia 2004 roku o ochronie przyrody.</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Przedmiotowa obora będzie jedynym budynkiem inwentarskim na terenie gospodarstwa rolnego Inwestora, zastępującym istniejące zabudowania inwentarskie. Natomiast, najbliższy obiekt inwentarski (chów ok. 40 szt. bydła) należący do innego Właściciela znajduje się w odległości ok. 30,0 m od analizowanego zamierzenia. Przewiduje się, iż nakładanie się oddziaływań w zakresie emisji hałasu, gazów i pyłów nie będzie związaną z przekroczeniem norm środowiskowych.</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Analizując wpływ zamierzenia w kontekście adaptacji do skutków zmian klimatu należy wskazać, iż inwestycja z uwagi na swój rodzaj i charakter będzie związana z emisją gazów cieplarnianych do atmosfery (ruch pojazdów, proces technologiczne). Emisje powodowane przez samochody nie będą miały wpływu na lokalny klimat. Należy także zaznaczyć, iż zamierzenie zostanie zlokalizowane poza terenami osuwisk oraz zagrożeniami podtopieniami. Zatem nie przewiduje się ekstremalnych sytuacji klimatycznych w obrębie analizowanego przedsięwzięcia.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Biorąc pod uwagę rodzaj zamierzenia, a także fakt, że będzie ono realizowane na terenie województwa kujawsko-pomorskiego, nie stwierdzono negatywnego wpływu               i występowania transgranicznego oddziaływania analizowanej inwestycji na środowisko.    Nie przewiduje się również przekroczeń standardów jakości środowiska, zwłaszcza biorąc pod uwagę, że w przedłożonej KIP oraz jej uzupełnieniu, przedstawione zostały rozwiązania minimalizujące oddziaływanie inwestycji na środowisko.</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Wójt Gminy Łubianka potwierdza słuszność oceny sytuacji dokonanej przez Państwowego Powiatowego Inspektora Sanitarnego w Toruniu oraz Regionalnego Dyrektora Ochrony Środowiska w Bydgoszczy dla przedmiotowej inwestycji polegającej na budowie budynku inwentarskiego – obory dla bydła mlecznego zlokalizowanej na działce nr 102        w miejscowości Bierzgłowo. Analizując możliwe zagrożenia dla środowiska związane przede wszystkim z emisją substancji złowonnych oraz generowaniem hałasu, jak również rodzaj        i skalę możliwego oddziaływania, a także planowane rozwiązania techniczne i technologiczne przedmiotowego przedsięwzięcia stwierdza się, że analizowane zamierzenie nie będzie powodowało ponadnormatywnych emisji substancji do powietrza oraz emisji hałasu, a także nie spowoduje zanieczyszczenia gleb i wód powierzchniowych i podziemnych, dlatego </w:t>
      </w:r>
      <w:r>
        <w:rPr>
          <w:sz w:val="26"/>
          <w:szCs w:val="26"/>
        </w:rPr>
        <w:t xml:space="preserve">też     w świetle obowiązujących przepisów nie jest wymagane przeprowadzenie procedury oceny oddziaływania na środowisko. Zwraca jednak uwagę na uwzględnienie zabezpieczenia zbiornika wodnego przed odciekami z gospodarstwa. </w:t>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sidRPr="0071134E">
        <w:rPr>
          <w:sz w:val="26"/>
          <w:szCs w:val="26"/>
        </w:rPr>
        <w:t xml:space="preserve"> </w:t>
      </w:r>
    </w:p>
    <w:p w:rsidR="00387A9E" w:rsidRPr="0071134E" w:rsidRDefault="00387A9E" w:rsidP="00393CE0">
      <w:pPr>
        <w:spacing w:after="0" w:line="276" w:lineRule="auto"/>
        <w:ind w:firstLine="708"/>
        <w:jc w:val="both"/>
        <w:rPr>
          <w:rFonts w:ascii="Times New Roman" w:hAnsi="Times New Roman"/>
          <w:sz w:val="26"/>
          <w:szCs w:val="26"/>
        </w:rPr>
      </w:pPr>
      <w:r>
        <w:rPr>
          <w:rFonts w:ascii="Times New Roman" w:hAnsi="Times New Roman"/>
          <w:sz w:val="26"/>
          <w:szCs w:val="26"/>
        </w:rPr>
        <w:t>W myśl</w:t>
      </w:r>
      <w:r w:rsidRPr="0071134E">
        <w:rPr>
          <w:rFonts w:ascii="Times New Roman" w:hAnsi="Times New Roman"/>
          <w:sz w:val="26"/>
          <w:szCs w:val="26"/>
        </w:rPr>
        <w:t xml:space="preserve">  art. 105 § 1 ww. ustawy z dnia 14 czerwca 1960 r. – Kodeks postępowania a</w:t>
      </w:r>
      <w:r>
        <w:rPr>
          <w:rFonts w:ascii="Times New Roman" w:hAnsi="Times New Roman"/>
          <w:sz w:val="26"/>
          <w:szCs w:val="26"/>
        </w:rPr>
        <w:t>dministracyjnego: „Gdy przedmiotowe postępowanie z jakich</w:t>
      </w:r>
      <w:r w:rsidRPr="0071134E">
        <w:rPr>
          <w:rFonts w:ascii="Times New Roman" w:hAnsi="Times New Roman"/>
          <w:sz w:val="26"/>
          <w:szCs w:val="26"/>
        </w:rPr>
        <w:t xml:space="preserve">kolwiek przyczyny  stało się bezprzedmiotowe w całości albo w części, organ administracji publicznej wydaje decyzję o umorzeniu postępowania odpowiednio w całości albo </w:t>
      </w:r>
      <w:r>
        <w:rPr>
          <w:rFonts w:ascii="Times New Roman" w:hAnsi="Times New Roman"/>
          <w:sz w:val="26"/>
          <w:szCs w:val="26"/>
        </w:rPr>
        <w:t xml:space="preserve">    </w:t>
      </w:r>
      <w:r w:rsidRPr="0071134E">
        <w:rPr>
          <w:rFonts w:ascii="Times New Roman" w:hAnsi="Times New Roman"/>
          <w:sz w:val="26"/>
          <w:szCs w:val="26"/>
        </w:rPr>
        <w:t xml:space="preserve">w części.” </w:t>
      </w:r>
    </w:p>
    <w:p w:rsidR="00387A9E" w:rsidRPr="0071134E" w:rsidRDefault="00387A9E" w:rsidP="00E47F4A">
      <w:pPr>
        <w:spacing w:after="0" w:line="276" w:lineRule="auto"/>
        <w:ind w:firstLine="708"/>
        <w:jc w:val="both"/>
        <w:rPr>
          <w:rFonts w:ascii="Times New Roman" w:hAnsi="Times New Roman"/>
          <w:sz w:val="26"/>
          <w:szCs w:val="26"/>
        </w:rPr>
      </w:pPr>
      <w:r w:rsidRPr="0071134E">
        <w:rPr>
          <w:rFonts w:ascii="Times New Roman" w:hAnsi="Times New Roman"/>
          <w:sz w:val="26"/>
          <w:szCs w:val="26"/>
        </w:rPr>
        <w:t>Zgodnie z</w:t>
      </w:r>
      <w:r>
        <w:rPr>
          <w:rFonts w:ascii="Times New Roman" w:hAnsi="Times New Roman"/>
          <w:sz w:val="26"/>
          <w:szCs w:val="26"/>
        </w:rPr>
        <w:t xml:space="preserve"> przyjętym orzecznictwem, z bez</w:t>
      </w:r>
      <w:r w:rsidRPr="0071134E">
        <w:rPr>
          <w:rFonts w:ascii="Times New Roman" w:hAnsi="Times New Roman"/>
          <w:sz w:val="26"/>
          <w:szCs w:val="26"/>
        </w:rPr>
        <w:t>przedmiotowością postępowania administracyjnego w rozumieniu art. 1</w:t>
      </w:r>
      <w:r>
        <w:rPr>
          <w:rFonts w:ascii="Times New Roman" w:hAnsi="Times New Roman"/>
          <w:sz w:val="26"/>
          <w:szCs w:val="26"/>
        </w:rPr>
        <w:t>05 § 1 mamy do czynienia wówczas</w:t>
      </w:r>
      <w:r w:rsidRPr="0071134E">
        <w:rPr>
          <w:rFonts w:ascii="Times New Roman" w:hAnsi="Times New Roman"/>
          <w:sz w:val="26"/>
          <w:szCs w:val="26"/>
        </w:rPr>
        <w:t xml:space="preserve">, gdy odpadł jeden z konstytutywnych elementów sprawy administracyjnej lub gdy </w:t>
      </w:r>
      <w:r>
        <w:rPr>
          <w:rFonts w:ascii="Times New Roman" w:hAnsi="Times New Roman"/>
          <w:sz w:val="26"/>
          <w:szCs w:val="26"/>
        </w:rPr>
        <w:t xml:space="preserve">            </w:t>
      </w:r>
      <w:r w:rsidRPr="0071134E">
        <w:rPr>
          <w:rFonts w:ascii="Times New Roman" w:hAnsi="Times New Roman"/>
          <w:sz w:val="26"/>
          <w:szCs w:val="26"/>
        </w:rPr>
        <w:t>w sposób oczywisty organ stwierdzi brak podstaw prawnych i faktycznych do merytorycznego rozpatrzenia sprawy  (por. wyrok NSA z dnia 18 kwietnia 1995 r., SA/Łd 2424/94, ONSA 1996, nr 2, poz. 80).</w:t>
      </w:r>
    </w:p>
    <w:p w:rsidR="00387A9E" w:rsidRPr="0071134E" w:rsidRDefault="00387A9E" w:rsidP="00393CE0">
      <w:pPr>
        <w:spacing w:after="0" w:line="276" w:lineRule="auto"/>
        <w:jc w:val="both"/>
        <w:rPr>
          <w:rFonts w:ascii="Times New Roman" w:hAnsi="Times New Roman"/>
          <w:sz w:val="26"/>
          <w:szCs w:val="26"/>
        </w:rPr>
      </w:pPr>
      <w:r w:rsidRPr="0071134E">
        <w:rPr>
          <w:rFonts w:ascii="Times New Roman" w:hAnsi="Times New Roman"/>
          <w:sz w:val="26"/>
          <w:szCs w:val="26"/>
        </w:rPr>
        <w:tab/>
        <w:t>Biorąc pod uwagę wymienione wyżej okoliczności brak jest podstaw prawnych do prowadzenia postępowania o wydanie decyzji o środowiskowych uwarunkowaniach dla realizacji przedmiotowej inwestycji.</w:t>
      </w:r>
    </w:p>
    <w:p w:rsidR="00387A9E" w:rsidRPr="0071134E" w:rsidRDefault="00387A9E" w:rsidP="00D94206">
      <w:pPr>
        <w:pStyle w:val="NormalWeb"/>
        <w:spacing w:after="0" w:afterAutospacing="0"/>
        <w:jc w:val="both"/>
        <w:rPr>
          <w:sz w:val="26"/>
          <w:szCs w:val="26"/>
        </w:rPr>
      </w:pPr>
      <w:r w:rsidRPr="0071134E">
        <w:rPr>
          <w:sz w:val="26"/>
          <w:szCs w:val="26"/>
        </w:rPr>
        <w:t> </w:t>
      </w:r>
    </w:p>
    <w:p w:rsidR="00387A9E" w:rsidRDefault="00387A9E" w:rsidP="00714D9E">
      <w:pPr>
        <w:pStyle w:val="NormalWeb"/>
        <w:spacing w:after="0" w:afterAutospacing="0"/>
        <w:jc w:val="center"/>
        <w:rPr>
          <w:sz w:val="26"/>
          <w:szCs w:val="26"/>
        </w:rPr>
      </w:pPr>
      <w:r>
        <w:rPr>
          <w:sz w:val="26"/>
          <w:szCs w:val="26"/>
        </w:rPr>
        <w:t>Pouczenie</w:t>
      </w:r>
    </w:p>
    <w:p w:rsidR="00387A9E" w:rsidRPr="00714D9E" w:rsidRDefault="00387A9E" w:rsidP="00DC6193">
      <w:pPr>
        <w:pStyle w:val="NormalWeb"/>
        <w:spacing w:after="0" w:afterAutospacing="0"/>
        <w:rPr>
          <w:sz w:val="26"/>
          <w:szCs w:val="26"/>
        </w:rPr>
      </w:pPr>
    </w:p>
    <w:p w:rsidR="00387A9E" w:rsidRPr="00714D9E" w:rsidRDefault="00387A9E" w:rsidP="00714D9E">
      <w:pPr>
        <w:ind w:firstLine="708"/>
        <w:jc w:val="both"/>
        <w:rPr>
          <w:rFonts w:ascii="Times New Roman" w:hAnsi="Times New Roman"/>
          <w:sz w:val="26"/>
          <w:szCs w:val="26"/>
        </w:rPr>
      </w:pPr>
      <w:r w:rsidRPr="00714D9E">
        <w:rPr>
          <w:rFonts w:ascii="Times New Roman" w:hAnsi="Times New Roman"/>
          <w:sz w:val="26"/>
          <w:szCs w:val="26"/>
        </w:rPr>
        <w:t>Od niniejszej decyzji służy stronie odwołanie do Samorządowego Kolegium Odwoławczego za pośrednictwem Wójta Gminy w terminie 14 dni od dnia doręczenia niniejszej decyzji.</w:t>
      </w:r>
    </w:p>
    <w:p w:rsidR="00387A9E" w:rsidRPr="00714D9E" w:rsidRDefault="00387A9E" w:rsidP="00714D9E">
      <w:pPr>
        <w:ind w:firstLine="708"/>
        <w:jc w:val="both"/>
        <w:rPr>
          <w:rFonts w:ascii="Times New Roman" w:hAnsi="Times New Roman"/>
          <w:sz w:val="26"/>
          <w:szCs w:val="26"/>
        </w:rPr>
      </w:pPr>
      <w:r w:rsidRPr="00714D9E">
        <w:rPr>
          <w:rFonts w:ascii="Times New Roman" w:hAnsi="Times New Roman"/>
          <w:sz w:val="26"/>
          <w:szCs w:val="26"/>
        </w:rPr>
        <w:t>Zgodnie z art. 127a Kodeksu postępowania administracyjnego, w trakcie biegu terminu do wniesienia odwołania strona może zrzec się prawa do wniesienia odwołania wobec organu administracji publicznej, który wydał decyzję, tj. Wójta Gminy Łubianka. Z dniem doręczenia organowi administracji publicznej oświadczenia o zrzeczeniu się prawa do wniesienia odwołania przez ostatnią ze stron postępowania, decyzja staje się ostateczna i prawomocna.</w:t>
      </w:r>
    </w:p>
    <w:p w:rsidR="00387A9E" w:rsidRPr="00714D9E" w:rsidRDefault="00387A9E" w:rsidP="00714D9E">
      <w:pPr>
        <w:ind w:firstLine="708"/>
        <w:jc w:val="both"/>
        <w:rPr>
          <w:rFonts w:ascii="Times New Roman" w:hAnsi="Times New Roman"/>
          <w:sz w:val="26"/>
          <w:szCs w:val="26"/>
        </w:rPr>
      </w:pPr>
      <w:r w:rsidRPr="00714D9E">
        <w:rPr>
          <w:rFonts w:ascii="Times New Roman" w:hAnsi="Times New Roman"/>
          <w:sz w:val="26"/>
          <w:szCs w:val="26"/>
        </w:rPr>
        <w:t>W przypadku złożenia przez stronę oświadczenia o zrzeczeniu się prawa do odwołania od decyzji nie przysługuje prawo do odwołania się ani skargi do sądu administracyjnego.</w:t>
      </w:r>
    </w:p>
    <w:p w:rsidR="00387A9E" w:rsidRDefault="00387A9E" w:rsidP="00DC6193">
      <w:pPr>
        <w:pStyle w:val="NormalWeb"/>
        <w:spacing w:after="0" w:afterAutospacing="0"/>
        <w:rPr>
          <w:sz w:val="26"/>
          <w:szCs w:val="26"/>
        </w:rPr>
      </w:pPr>
    </w:p>
    <w:p w:rsidR="00387A9E" w:rsidRDefault="00387A9E" w:rsidP="00DC6193">
      <w:pPr>
        <w:pStyle w:val="NormalWeb"/>
        <w:spacing w:after="0" w:afterAutospacing="0"/>
        <w:rPr>
          <w:sz w:val="26"/>
          <w:szCs w:val="26"/>
        </w:rPr>
      </w:pPr>
    </w:p>
    <w:p w:rsidR="00387A9E" w:rsidRDefault="00387A9E" w:rsidP="00DC6193">
      <w:pPr>
        <w:pStyle w:val="NormalWeb"/>
        <w:spacing w:after="0" w:afterAutospacing="0"/>
        <w:rPr>
          <w:sz w:val="26"/>
          <w:szCs w:val="26"/>
        </w:rPr>
      </w:pPr>
    </w:p>
    <w:p w:rsidR="00387A9E" w:rsidRDefault="00387A9E" w:rsidP="00DC6193">
      <w:pPr>
        <w:pStyle w:val="NormalWeb"/>
        <w:spacing w:after="0" w:afterAutospacing="0"/>
        <w:rPr>
          <w:sz w:val="26"/>
          <w:szCs w:val="26"/>
        </w:rPr>
      </w:pPr>
    </w:p>
    <w:p w:rsidR="00387A9E" w:rsidRDefault="00387A9E" w:rsidP="00DC6193">
      <w:pPr>
        <w:pStyle w:val="NormalWeb"/>
        <w:spacing w:after="0" w:afterAutospacing="0"/>
        <w:rPr>
          <w:sz w:val="26"/>
          <w:szCs w:val="26"/>
        </w:rPr>
      </w:pPr>
    </w:p>
    <w:p w:rsidR="00387A9E" w:rsidRDefault="00387A9E" w:rsidP="00DC6193">
      <w:pPr>
        <w:pStyle w:val="NormalWeb"/>
        <w:spacing w:after="0" w:afterAutospacing="0"/>
        <w:rPr>
          <w:sz w:val="26"/>
          <w:szCs w:val="26"/>
        </w:rPr>
      </w:pPr>
    </w:p>
    <w:p w:rsidR="00387A9E" w:rsidRDefault="00387A9E" w:rsidP="00DC6193">
      <w:pPr>
        <w:pStyle w:val="NormalWeb"/>
        <w:spacing w:after="0" w:afterAutospacing="0"/>
        <w:rPr>
          <w:sz w:val="26"/>
          <w:szCs w:val="26"/>
        </w:rPr>
      </w:pPr>
    </w:p>
    <w:p w:rsidR="00387A9E" w:rsidRDefault="00387A9E" w:rsidP="00DC6193">
      <w:pPr>
        <w:pStyle w:val="NormalWeb"/>
        <w:spacing w:after="0" w:afterAutospacing="0"/>
        <w:rPr>
          <w:sz w:val="26"/>
          <w:szCs w:val="26"/>
        </w:rPr>
      </w:pPr>
    </w:p>
    <w:p w:rsidR="00387A9E" w:rsidRDefault="00387A9E" w:rsidP="00DC6193">
      <w:pPr>
        <w:pStyle w:val="NormalWeb"/>
        <w:spacing w:after="0" w:afterAutospacing="0"/>
        <w:rPr>
          <w:sz w:val="26"/>
          <w:szCs w:val="26"/>
        </w:rPr>
      </w:pPr>
    </w:p>
    <w:p w:rsidR="00387A9E" w:rsidRPr="00D94206" w:rsidRDefault="00387A9E" w:rsidP="00DC6193">
      <w:pPr>
        <w:pStyle w:val="NormalWeb"/>
        <w:spacing w:after="0" w:afterAutospacing="0"/>
        <w:rPr>
          <w:sz w:val="26"/>
          <w:szCs w:val="26"/>
        </w:rPr>
      </w:pPr>
      <w:bookmarkStart w:id="0" w:name="_GoBack"/>
      <w:bookmarkEnd w:id="0"/>
    </w:p>
    <w:p w:rsidR="00387A9E" w:rsidRPr="00D94206" w:rsidRDefault="00387A9E">
      <w:pPr>
        <w:rPr>
          <w:sz w:val="16"/>
          <w:szCs w:val="16"/>
        </w:rPr>
      </w:pPr>
    </w:p>
    <w:p w:rsidR="00387A9E" w:rsidRPr="00393CE0" w:rsidRDefault="00387A9E" w:rsidP="00393CE0">
      <w:pPr>
        <w:rPr>
          <w:rFonts w:ascii="Times New Roman" w:hAnsi="Times New Roman"/>
          <w:b/>
          <w:sz w:val="20"/>
          <w:szCs w:val="16"/>
        </w:rPr>
      </w:pPr>
      <w:r w:rsidRPr="00393CE0">
        <w:rPr>
          <w:rFonts w:ascii="Times New Roman" w:hAnsi="Times New Roman"/>
          <w:b/>
          <w:sz w:val="20"/>
          <w:szCs w:val="16"/>
        </w:rPr>
        <w:t>Otrzymują:</w:t>
      </w:r>
    </w:p>
    <w:p w:rsidR="00387A9E" w:rsidRPr="00393CE0" w:rsidRDefault="00387A9E" w:rsidP="00393CE0">
      <w:pPr>
        <w:pStyle w:val="ListParagraph"/>
        <w:numPr>
          <w:ilvl w:val="0"/>
          <w:numId w:val="2"/>
        </w:numPr>
        <w:spacing w:after="0"/>
        <w:rPr>
          <w:rFonts w:ascii="Times New Roman" w:hAnsi="Times New Roman"/>
          <w:sz w:val="20"/>
          <w:szCs w:val="16"/>
        </w:rPr>
      </w:pPr>
      <w:r>
        <w:rPr>
          <w:rFonts w:ascii="Times New Roman" w:hAnsi="Times New Roman"/>
          <w:sz w:val="20"/>
          <w:szCs w:val="16"/>
        </w:rPr>
        <w:t>Pani Katarzyna Bartosińska, ul. Ks. Z. Ziętarskiego 11, 87-152 Bierzgłowo.</w:t>
      </w:r>
    </w:p>
    <w:p w:rsidR="00387A9E" w:rsidRDefault="00387A9E" w:rsidP="00393CE0">
      <w:pPr>
        <w:pStyle w:val="ListParagraph"/>
        <w:numPr>
          <w:ilvl w:val="0"/>
          <w:numId w:val="2"/>
        </w:numPr>
        <w:spacing w:after="0"/>
        <w:rPr>
          <w:rFonts w:ascii="Times New Roman" w:hAnsi="Times New Roman"/>
          <w:sz w:val="20"/>
          <w:szCs w:val="16"/>
        </w:rPr>
      </w:pPr>
      <w:r>
        <w:rPr>
          <w:rFonts w:ascii="Times New Roman" w:hAnsi="Times New Roman"/>
          <w:sz w:val="20"/>
          <w:szCs w:val="16"/>
        </w:rPr>
        <w:t>Pozostał strony postępowania.</w:t>
      </w:r>
    </w:p>
    <w:p w:rsidR="00387A9E" w:rsidRDefault="00387A9E" w:rsidP="00BD1B88">
      <w:pPr>
        <w:pStyle w:val="ListParagraph"/>
        <w:numPr>
          <w:ilvl w:val="0"/>
          <w:numId w:val="2"/>
        </w:numPr>
        <w:spacing w:after="0"/>
        <w:rPr>
          <w:rFonts w:ascii="Times New Roman" w:hAnsi="Times New Roman"/>
          <w:sz w:val="20"/>
          <w:szCs w:val="16"/>
        </w:rPr>
      </w:pPr>
      <w:r w:rsidRPr="00393CE0">
        <w:rPr>
          <w:rFonts w:ascii="Times New Roman" w:hAnsi="Times New Roman"/>
          <w:sz w:val="20"/>
          <w:szCs w:val="16"/>
        </w:rPr>
        <w:t xml:space="preserve"> a/a</w:t>
      </w:r>
      <w:r w:rsidRPr="00393CE0">
        <w:rPr>
          <w:sz w:val="20"/>
          <w:szCs w:val="16"/>
        </w:rPr>
        <w:t xml:space="preserve"> </w:t>
      </w:r>
    </w:p>
    <w:p w:rsidR="00387A9E" w:rsidRPr="00E60404" w:rsidRDefault="00387A9E" w:rsidP="00E60404">
      <w:pPr>
        <w:pStyle w:val="ListParagraph"/>
        <w:spacing w:after="0"/>
        <w:ind w:left="0"/>
        <w:rPr>
          <w:rFonts w:ascii="Times New Roman" w:hAnsi="Times New Roman"/>
          <w:b/>
          <w:sz w:val="20"/>
          <w:szCs w:val="16"/>
          <w:lang w:eastAsia="pl-PL"/>
        </w:rPr>
      </w:pPr>
      <w:r w:rsidRPr="00BD1B88">
        <w:rPr>
          <w:rFonts w:ascii="Times New Roman" w:hAnsi="Times New Roman"/>
          <w:b/>
          <w:sz w:val="20"/>
          <w:szCs w:val="16"/>
          <w:lang w:eastAsia="pl-PL"/>
        </w:rPr>
        <w:t>Do wiadomości</w:t>
      </w:r>
      <w:r>
        <w:rPr>
          <w:rFonts w:ascii="Times New Roman" w:hAnsi="Times New Roman"/>
          <w:b/>
          <w:sz w:val="20"/>
          <w:szCs w:val="16"/>
          <w:lang w:eastAsia="pl-PL"/>
        </w:rPr>
        <w:t>:</w:t>
      </w:r>
    </w:p>
    <w:p w:rsidR="00387A9E" w:rsidRDefault="00387A9E" w:rsidP="00EB00B7">
      <w:pPr>
        <w:pStyle w:val="ListParagraph"/>
        <w:numPr>
          <w:ilvl w:val="0"/>
          <w:numId w:val="4"/>
        </w:numPr>
        <w:spacing w:after="0"/>
        <w:rPr>
          <w:rFonts w:ascii="Times New Roman" w:hAnsi="Times New Roman"/>
          <w:sz w:val="20"/>
          <w:szCs w:val="16"/>
          <w:lang w:eastAsia="pl-PL"/>
        </w:rPr>
      </w:pPr>
      <w:r>
        <w:rPr>
          <w:rFonts w:ascii="Times New Roman" w:hAnsi="Times New Roman"/>
          <w:sz w:val="20"/>
          <w:szCs w:val="16"/>
          <w:lang w:eastAsia="pl-PL"/>
        </w:rPr>
        <w:t>Wywieszono na tablicy ogłoszeń sołectwa Bierzgłowo i UG w Łubiance oraz stronie internetowej BIP.</w:t>
      </w:r>
    </w:p>
    <w:p w:rsidR="00387A9E" w:rsidRDefault="00387A9E" w:rsidP="0035212A">
      <w:pPr>
        <w:pStyle w:val="ListParagraph"/>
        <w:numPr>
          <w:ilvl w:val="0"/>
          <w:numId w:val="4"/>
        </w:numPr>
        <w:spacing w:after="0"/>
        <w:rPr>
          <w:rFonts w:ascii="Times New Roman" w:hAnsi="Times New Roman"/>
          <w:sz w:val="20"/>
          <w:szCs w:val="16"/>
          <w:lang w:eastAsia="pl-PL"/>
        </w:rPr>
      </w:pPr>
      <w:r w:rsidRPr="00BD1B88">
        <w:rPr>
          <w:rFonts w:ascii="Times New Roman" w:hAnsi="Times New Roman"/>
          <w:sz w:val="20"/>
          <w:szCs w:val="16"/>
          <w:lang w:eastAsia="pl-PL"/>
        </w:rPr>
        <w:t>Państwowy Powiatowy Inspektor Sanitarny w Toruniu, Szosa Bydgoska 1,  87-100 Toruń</w:t>
      </w:r>
      <w:r>
        <w:rPr>
          <w:rFonts w:ascii="Times New Roman" w:hAnsi="Times New Roman"/>
          <w:sz w:val="20"/>
          <w:szCs w:val="16"/>
          <w:lang w:eastAsia="pl-PL"/>
        </w:rPr>
        <w:t xml:space="preserve">.  </w:t>
      </w:r>
    </w:p>
    <w:p w:rsidR="00387A9E" w:rsidRPr="0035212A" w:rsidRDefault="00387A9E" w:rsidP="0035212A">
      <w:pPr>
        <w:pStyle w:val="ListParagraph"/>
        <w:numPr>
          <w:ilvl w:val="0"/>
          <w:numId w:val="4"/>
        </w:numPr>
        <w:spacing w:after="0"/>
        <w:rPr>
          <w:rFonts w:ascii="Times New Roman" w:hAnsi="Times New Roman"/>
          <w:sz w:val="20"/>
          <w:szCs w:val="16"/>
          <w:lang w:eastAsia="pl-PL"/>
        </w:rPr>
      </w:pPr>
      <w:r w:rsidRPr="0035212A">
        <w:rPr>
          <w:rFonts w:ascii="Times New Roman" w:hAnsi="Times New Roman"/>
          <w:sz w:val="20"/>
          <w:szCs w:val="16"/>
          <w:lang w:eastAsia="pl-PL"/>
        </w:rPr>
        <w:t>Regionalny Dyrektor Ochrony Środowiska, ul. Dworcowa 81, 85-009 Bydgoszcz.</w:t>
      </w:r>
    </w:p>
    <w:sectPr w:rsidR="00387A9E" w:rsidRPr="0035212A" w:rsidSect="004C6162">
      <w:footerReference w:type="default" r:id="rId7"/>
      <w:pgSz w:w="11906" w:h="16838"/>
      <w:pgMar w:top="851" w:right="1418" w:bottom="1418"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87A9E" w:rsidRDefault="00387A9E" w:rsidP="001C0066">
      <w:pPr>
        <w:spacing w:after="0"/>
      </w:pPr>
      <w:r>
        <w:separator/>
      </w:r>
    </w:p>
  </w:endnote>
  <w:endnote w:type="continuationSeparator" w:id="0">
    <w:p w:rsidR="00387A9E" w:rsidRDefault="00387A9E" w:rsidP="001C0066">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7A9E" w:rsidRDefault="00387A9E">
    <w:pPr>
      <w:pStyle w:val="Footer"/>
      <w:jc w:val="right"/>
    </w:pPr>
    <w:fldSimple w:instr="PAGE   \* MERGEFORMAT">
      <w:r>
        <w:rPr>
          <w:noProof/>
        </w:rPr>
        <w:t>8</w:t>
      </w:r>
    </w:fldSimple>
  </w:p>
  <w:p w:rsidR="00387A9E" w:rsidRDefault="00387A9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87A9E" w:rsidRDefault="00387A9E" w:rsidP="001C0066">
      <w:pPr>
        <w:spacing w:after="0"/>
      </w:pPr>
      <w:r>
        <w:separator/>
      </w:r>
    </w:p>
  </w:footnote>
  <w:footnote w:type="continuationSeparator" w:id="0">
    <w:p w:rsidR="00387A9E" w:rsidRDefault="00387A9E" w:rsidP="001C0066">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AA3E53"/>
    <w:multiLevelType w:val="hybridMultilevel"/>
    <w:tmpl w:val="A574C49C"/>
    <w:lvl w:ilvl="0" w:tplc="18C6E2E2">
      <w:start w:val="1"/>
      <w:numFmt w:val="upperRoman"/>
      <w:lvlText w:val="%1."/>
      <w:lvlJc w:val="left"/>
      <w:pPr>
        <w:ind w:left="1080" w:hanging="72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nsid w:val="03CD0EE5"/>
    <w:multiLevelType w:val="hybridMultilevel"/>
    <w:tmpl w:val="75B886D8"/>
    <w:lvl w:ilvl="0" w:tplc="04150013">
      <w:start w:val="1"/>
      <w:numFmt w:val="upperRoman"/>
      <w:lvlText w:val="%1."/>
      <w:lvlJc w:val="right"/>
      <w:pPr>
        <w:ind w:left="1080"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
    <w:nsid w:val="155D4B3D"/>
    <w:multiLevelType w:val="hybridMultilevel"/>
    <w:tmpl w:val="9F9EE0D6"/>
    <w:lvl w:ilvl="0" w:tplc="662C33EE">
      <w:start w:val="1"/>
      <w:numFmt w:val="lowerLetter"/>
      <w:lvlText w:val="%1)"/>
      <w:lvlJc w:val="left"/>
      <w:pPr>
        <w:ind w:left="1424" w:hanging="360"/>
      </w:pPr>
      <w:rPr>
        <w:rFonts w:cs="Times New Roman" w:hint="default"/>
      </w:rPr>
    </w:lvl>
    <w:lvl w:ilvl="1" w:tplc="04150019" w:tentative="1">
      <w:start w:val="1"/>
      <w:numFmt w:val="lowerLetter"/>
      <w:lvlText w:val="%2."/>
      <w:lvlJc w:val="left"/>
      <w:pPr>
        <w:ind w:left="2144" w:hanging="360"/>
      </w:pPr>
      <w:rPr>
        <w:rFonts w:cs="Times New Roman"/>
      </w:rPr>
    </w:lvl>
    <w:lvl w:ilvl="2" w:tplc="0415001B" w:tentative="1">
      <w:start w:val="1"/>
      <w:numFmt w:val="lowerRoman"/>
      <w:lvlText w:val="%3."/>
      <w:lvlJc w:val="right"/>
      <w:pPr>
        <w:ind w:left="2864" w:hanging="180"/>
      </w:pPr>
      <w:rPr>
        <w:rFonts w:cs="Times New Roman"/>
      </w:rPr>
    </w:lvl>
    <w:lvl w:ilvl="3" w:tplc="0415000F" w:tentative="1">
      <w:start w:val="1"/>
      <w:numFmt w:val="decimal"/>
      <w:lvlText w:val="%4."/>
      <w:lvlJc w:val="left"/>
      <w:pPr>
        <w:ind w:left="3584" w:hanging="360"/>
      </w:pPr>
      <w:rPr>
        <w:rFonts w:cs="Times New Roman"/>
      </w:rPr>
    </w:lvl>
    <w:lvl w:ilvl="4" w:tplc="04150019" w:tentative="1">
      <w:start w:val="1"/>
      <w:numFmt w:val="lowerLetter"/>
      <w:lvlText w:val="%5."/>
      <w:lvlJc w:val="left"/>
      <w:pPr>
        <w:ind w:left="4304" w:hanging="360"/>
      </w:pPr>
      <w:rPr>
        <w:rFonts w:cs="Times New Roman"/>
      </w:rPr>
    </w:lvl>
    <w:lvl w:ilvl="5" w:tplc="0415001B" w:tentative="1">
      <w:start w:val="1"/>
      <w:numFmt w:val="lowerRoman"/>
      <w:lvlText w:val="%6."/>
      <w:lvlJc w:val="right"/>
      <w:pPr>
        <w:ind w:left="5024" w:hanging="180"/>
      </w:pPr>
      <w:rPr>
        <w:rFonts w:cs="Times New Roman"/>
      </w:rPr>
    </w:lvl>
    <w:lvl w:ilvl="6" w:tplc="0415000F" w:tentative="1">
      <w:start w:val="1"/>
      <w:numFmt w:val="decimal"/>
      <w:lvlText w:val="%7."/>
      <w:lvlJc w:val="left"/>
      <w:pPr>
        <w:ind w:left="5744" w:hanging="360"/>
      </w:pPr>
      <w:rPr>
        <w:rFonts w:cs="Times New Roman"/>
      </w:rPr>
    </w:lvl>
    <w:lvl w:ilvl="7" w:tplc="04150019" w:tentative="1">
      <w:start w:val="1"/>
      <w:numFmt w:val="lowerLetter"/>
      <w:lvlText w:val="%8."/>
      <w:lvlJc w:val="left"/>
      <w:pPr>
        <w:ind w:left="6464" w:hanging="360"/>
      </w:pPr>
      <w:rPr>
        <w:rFonts w:cs="Times New Roman"/>
      </w:rPr>
    </w:lvl>
    <w:lvl w:ilvl="8" w:tplc="0415001B" w:tentative="1">
      <w:start w:val="1"/>
      <w:numFmt w:val="lowerRoman"/>
      <w:lvlText w:val="%9."/>
      <w:lvlJc w:val="right"/>
      <w:pPr>
        <w:ind w:left="7184" w:hanging="180"/>
      </w:pPr>
      <w:rPr>
        <w:rFonts w:cs="Times New Roman"/>
      </w:rPr>
    </w:lvl>
  </w:abstractNum>
  <w:abstractNum w:abstractNumId="3">
    <w:nsid w:val="16E92F36"/>
    <w:multiLevelType w:val="hybridMultilevel"/>
    <w:tmpl w:val="6CCC4762"/>
    <w:lvl w:ilvl="0" w:tplc="97B6C6B4">
      <w:start w:val="1"/>
      <w:numFmt w:val="upperRoman"/>
      <w:lvlText w:val="%1."/>
      <w:lvlJc w:val="left"/>
      <w:pPr>
        <w:ind w:left="1080" w:hanging="72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
    <w:nsid w:val="1766677A"/>
    <w:multiLevelType w:val="hybridMultilevel"/>
    <w:tmpl w:val="7B2EF504"/>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
    <w:nsid w:val="216E380C"/>
    <w:multiLevelType w:val="hybridMultilevel"/>
    <w:tmpl w:val="07E433F6"/>
    <w:lvl w:ilvl="0" w:tplc="6370413C">
      <w:start w:val="1"/>
      <w:numFmt w:val="lowerLetter"/>
      <w:lvlText w:val="%1)"/>
      <w:lvlJc w:val="left"/>
      <w:pPr>
        <w:ind w:left="1424" w:hanging="360"/>
      </w:pPr>
      <w:rPr>
        <w:rFonts w:cs="Times New Roman" w:hint="default"/>
      </w:rPr>
    </w:lvl>
    <w:lvl w:ilvl="1" w:tplc="04150019" w:tentative="1">
      <w:start w:val="1"/>
      <w:numFmt w:val="lowerLetter"/>
      <w:lvlText w:val="%2."/>
      <w:lvlJc w:val="left"/>
      <w:pPr>
        <w:ind w:left="2144" w:hanging="360"/>
      </w:pPr>
      <w:rPr>
        <w:rFonts w:cs="Times New Roman"/>
      </w:rPr>
    </w:lvl>
    <w:lvl w:ilvl="2" w:tplc="0415001B" w:tentative="1">
      <w:start w:val="1"/>
      <w:numFmt w:val="lowerRoman"/>
      <w:lvlText w:val="%3."/>
      <w:lvlJc w:val="right"/>
      <w:pPr>
        <w:ind w:left="2864" w:hanging="180"/>
      </w:pPr>
      <w:rPr>
        <w:rFonts w:cs="Times New Roman"/>
      </w:rPr>
    </w:lvl>
    <w:lvl w:ilvl="3" w:tplc="0415000F" w:tentative="1">
      <w:start w:val="1"/>
      <w:numFmt w:val="decimal"/>
      <w:lvlText w:val="%4."/>
      <w:lvlJc w:val="left"/>
      <w:pPr>
        <w:ind w:left="3584" w:hanging="360"/>
      </w:pPr>
      <w:rPr>
        <w:rFonts w:cs="Times New Roman"/>
      </w:rPr>
    </w:lvl>
    <w:lvl w:ilvl="4" w:tplc="04150019" w:tentative="1">
      <w:start w:val="1"/>
      <w:numFmt w:val="lowerLetter"/>
      <w:lvlText w:val="%5."/>
      <w:lvlJc w:val="left"/>
      <w:pPr>
        <w:ind w:left="4304" w:hanging="360"/>
      </w:pPr>
      <w:rPr>
        <w:rFonts w:cs="Times New Roman"/>
      </w:rPr>
    </w:lvl>
    <w:lvl w:ilvl="5" w:tplc="0415001B" w:tentative="1">
      <w:start w:val="1"/>
      <w:numFmt w:val="lowerRoman"/>
      <w:lvlText w:val="%6."/>
      <w:lvlJc w:val="right"/>
      <w:pPr>
        <w:ind w:left="5024" w:hanging="180"/>
      </w:pPr>
      <w:rPr>
        <w:rFonts w:cs="Times New Roman"/>
      </w:rPr>
    </w:lvl>
    <w:lvl w:ilvl="6" w:tplc="0415000F" w:tentative="1">
      <w:start w:val="1"/>
      <w:numFmt w:val="decimal"/>
      <w:lvlText w:val="%7."/>
      <w:lvlJc w:val="left"/>
      <w:pPr>
        <w:ind w:left="5744" w:hanging="360"/>
      </w:pPr>
      <w:rPr>
        <w:rFonts w:cs="Times New Roman"/>
      </w:rPr>
    </w:lvl>
    <w:lvl w:ilvl="7" w:tplc="04150019" w:tentative="1">
      <w:start w:val="1"/>
      <w:numFmt w:val="lowerLetter"/>
      <w:lvlText w:val="%8."/>
      <w:lvlJc w:val="left"/>
      <w:pPr>
        <w:ind w:left="6464" w:hanging="360"/>
      </w:pPr>
      <w:rPr>
        <w:rFonts w:cs="Times New Roman"/>
      </w:rPr>
    </w:lvl>
    <w:lvl w:ilvl="8" w:tplc="0415001B" w:tentative="1">
      <w:start w:val="1"/>
      <w:numFmt w:val="lowerRoman"/>
      <w:lvlText w:val="%9."/>
      <w:lvlJc w:val="right"/>
      <w:pPr>
        <w:ind w:left="7184" w:hanging="180"/>
      </w:pPr>
      <w:rPr>
        <w:rFonts w:cs="Times New Roman"/>
      </w:rPr>
    </w:lvl>
  </w:abstractNum>
  <w:abstractNum w:abstractNumId="6">
    <w:nsid w:val="2FB57C16"/>
    <w:multiLevelType w:val="hybridMultilevel"/>
    <w:tmpl w:val="68A89532"/>
    <w:lvl w:ilvl="0" w:tplc="3BD23BEE">
      <w:start w:val="1"/>
      <w:numFmt w:val="lowerLetter"/>
      <w:lvlText w:val="%1)"/>
      <w:lvlJc w:val="left"/>
      <w:pPr>
        <w:ind w:left="1424" w:hanging="360"/>
      </w:pPr>
      <w:rPr>
        <w:rFonts w:cs="Times New Roman" w:hint="default"/>
      </w:rPr>
    </w:lvl>
    <w:lvl w:ilvl="1" w:tplc="04150019" w:tentative="1">
      <w:start w:val="1"/>
      <w:numFmt w:val="lowerLetter"/>
      <w:lvlText w:val="%2."/>
      <w:lvlJc w:val="left"/>
      <w:pPr>
        <w:ind w:left="2144" w:hanging="360"/>
      </w:pPr>
      <w:rPr>
        <w:rFonts w:cs="Times New Roman"/>
      </w:rPr>
    </w:lvl>
    <w:lvl w:ilvl="2" w:tplc="0415001B" w:tentative="1">
      <w:start w:val="1"/>
      <w:numFmt w:val="lowerRoman"/>
      <w:lvlText w:val="%3."/>
      <w:lvlJc w:val="right"/>
      <w:pPr>
        <w:ind w:left="2864" w:hanging="180"/>
      </w:pPr>
      <w:rPr>
        <w:rFonts w:cs="Times New Roman"/>
      </w:rPr>
    </w:lvl>
    <w:lvl w:ilvl="3" w:tplc="0415000F" w:tentative="1">
      <w:start w:val="1"/>
      <w:numFmt w:val="decimal"/>
      <w:lvlText w:val="%4."/>
      <w:lvlJc w:val="left"/>
      <w:pPr>
        <w:ind w:left="3584" w:hanging="360"/>
      </w:pPr>
      <w:rPr>
        <w:rFonts w:cs="Times New Roman"/>
      </w:rPr>
    </w:lvl>
    <w:lvl w:ilvl="4" w:tplc="04150019" w:tentative="1">
      <w:start w:val="1"/>
      <w:numFmt w:val="lowerLetter"/>
      <w:lvlText w:val="%5."/>
      <w:lvlJc w:val="left"/>
      <w:pPr>
        <w:ind w:left="4304" w:hanging="360"/>
      </w:pPr>
      <w:rPr>
        <w:rFonts w:cs="Times New Roman"/>
      </w:rPr>
    </w:lvl>
    <w:lvl w:ilvl="5" w:tplc="0415001B" w:tentative="1">
      <w:start w:val="1"/>
      <w:numFmt w:val="lowerRoman"/>
      <w:lvlText w:val="%6."/>
      <w:lvlJc w:val="right"/>
      <w:pPr>
        <w:ind w:left="5024" w:hanging="180"/>
      </w:pPr>
      <w:rPr>
        <w:rFonts w:cs="Times New Roman"/>
      </w:rPr>
    </w:lvl>
    <w:lvl w:ilvl="6" w:tplc="0415000F" w:tentative="1">
      <w:start w:val="1"/>
      <w:numFmt w:val="decimal"/>
      <w:lvlText w:val="%7."/>
      <w:lvlJc w:val="left"/>
      <w:pPr>
        <w:ind w:left="5744" w:hanging="360"/>
      </w:pPr>
      <w:rPr>
        <w:rFonts w:cs="Times New Roman"/>
      </w:rPr>
    </w:lvl>
    <w:lvl w:ilvl="7" w:tplc="04150019" w:tentative="1">
      <w:start w:val="1"/>
      <w:numFmt w:val="lowerLetter"/>
      <w:lvlText w:val="%8."/>
      <w:lvlJc w:val="left"/>
      <w:pPr>
        <w:ind w:left="6464" w:hanging="360"/>
      </w:pPr>
      <w:rPr>
        <w:rFonts w:cs="Times New Roman"/>
      </w:rPr>
    </w:lvl>
    <w:lvl w:ilvl="8" w:tplc="0415001B" w:tentative="1">
      <w:start w:val="1"/>
      <w:numFmt w:val="lowerRoman"/>
      <w:lvlText w:val="%9."/>
      <w:lvlJc w:val="right"/>
      <w:pPr>
        <w:ind w:left="7184" w:hanging="180"/>
      </w:pPr>
      <w:rPr>
        <w:rFonts w:cs="Times New Roman"/>
      </w:rPr>
    </w:lvl>
  </w:abstractNum>
  <w:abstractNum w:abstractNumId="7">
    <w:nsid w:val="522B0DB4"/>
    <w:multiLevelType w:val="hybridMultilevel"/>
    <w:tmpl w:val="8CAE742C"/>
    <w:lvl w:ilvl="0" w:tplc="16EA6784">
      <w:start w:val="1"/>
      <w:numFmt w:val="decimal"/>
      <w:lvlText w:val="%1."/>
      <w:lvlJc w:val="left"/>
      <w:pPr>
        <w:ind w:left="1064" w:hanging="360"/>
      </w:pPr>
      <w:rPr>
        <w:rFonts w:cs="Times New Roman" w:hint="default"/>
      </w:rPr>
    </w:lvl>
    <w:lvl w:ilvl="1" w:tplc="04150019" w:tentative="1">
      <w:start w:val="1"/>
      <w:numFmt w:val="lowerLetter"/>
      <w:lvlText w:val="%2."/>
      <w:lvlJc w:val="left"/>
      <w:pPr>
        <w:ind w:left="1784" w:hanging="360"/>
      </w:pPr>
      <w:rPr>
        <w:rFonts w:cs="Times New Roman"/>
      </w:rPr>
    </w:lvl>
    <w:lvl w:ilvl="2" w:tplc="0415001B" w:tentative="1">
      <w:start w:val="1"/>
      <w:numFmt w:val="lowerRoman"/>
      <w:lvlText w:val="%3."/>
      <w:lvlJc w:val="right"/>
      <w:pPr>
        <w:ind w:left="2504" w:hanging="180"/>
      </w:pPr>
      <w:rPr>
        <w:rFonts w:cs="Times New Roman"/>
      </w:rPr>
    </w:lvl>
    <w:lvl w:ilvl="3" w:tplc="0415000F" w:tentative="1">
      <w:start w:val="1"/>
      <w:numFmt w:val="decimal"/>
      <w:lvlText w:val="%4."/>
      <w:lvlJc w:val="left"/>
      <w:pPr>
        <w:ind w:left="3224" w:hanging="360"/>
      </w:pPr>
      <w:rPr>
        <w:rFonts w:cs="Times New Roman"/>
      </w:rPr>
    </w:lvl>
    <w:lvl w:ilvl="4" w:tplc="04150019" w:tentative="1">
      <w:start w:val="1"/>
      <w:numFmt w:val="lowerLetter"/>
      <w:lvlText w:val="%5."/>
      <w:lvlJc w:val="left"/>
      <w:pPr>
        <w:ind w:left="3944" w:hanging="360"/>
      </w:pPr>
      <w:rPr>
        <w:rFonts w:cs="Times New Roman"/>
      </w:rPr>
    </w:lvl>
    <w:lvl w:ilvl="5" w:tplc="0415001B" w:tentative="1">
      <w:start w:val="1"/>
      <w:numFmt w:val="lowerRoman"/>
      <w:lvlText w:val="%6."/>
      <w:lvlJc w:val="right"/>
      <w:pPr>
        <w:ind w:left="4664" w:hanging="180"/>
      </w:pPr>
      <w:rPr>
        <w:rFonts w:cs="Times New Roman"/>
      </w:rPr>
    </w:lvl>
    <w:lvl w:ilvl="6" w:tplc="0415000F" w:tentative="1">
      <w:start w:val="1"/>
      <w:numFmt w:val="decimal"/>
      <w:lvlText w:val="%7."/>
      <w:lvlJc w:val="left"/>
      <w:pPr>
        <w:ind w:left="5384" w:hanging="360"/>
      </w:pPr>
      <w:rPr>
        <w:rFonts w:cs="Times New Roman"/>
      </w:rPr>
    </w:lvl>
    <w:lvl w:ilvl="7" w:tplc="04150019" w:tentative="1">
      <w:start w:val="1"/>
      <w:numFmt w:val="lowerLetter"/>
      <w:lvlText w:val="%8."/>
      <w:lvlJc w:val="left"/>
      <w:pPr>
        <w:ind w:left="6104" w:hanging="360"/>
      </w:pPr>
      <w:rPr>
        <w:rFonts w:cs="Times New Roman"/>
      </w:rPr>
    </w:lvl>
    <w:lvl w:ilvl="8" w:tplc="0415001B" w:tentative="1">
      <w:start w:val="1"/>
      <w:numFmt w:val="lowerRoman"/>
      <w:lvlText w:val="%9."/>
      <w:lvlJc w:val="right"/>
      <w:pPr>
        <w:ind w:left="6824" w:hanging="180"/>
      </w:pPr>
      <w:rPr>
        <w:rFonts w:cs="Times New Roman"/>
      </w:rPr>
    </w:lvl>
  </w:abstractNum>
  <w:abstractNum w:abstractNumId="8">
    <w:nsid w:val="6E7E336D"/>
    <w:multiLevelType w:val="hybridMultilevel"/>
    <w:tmpl w:val="B61E34CE"/>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
    <w:nsid w:val="79A804EF"/>
    <w:multiLevelType w:val="hybridMultilevel"/>
    <w:tmpl w:val="C3E0F7BA"/>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8"/>
  </w:num>
  <w:num w:numId="2">
    <w:abstractNumId w:val="9"/>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3"/>
  </w:num>
  <w:num w:numId="6">
    <w:abstractNumId w:val="0"/>
  </w:num>
  <w:num w:numId="7">
    <w:abstractNumId w:val="7"/>
  </w:num>
  <w:num w:numId="8">
    <w:abstractNumId w:val="6"/>
  </w:num>
  <w:num w:numId="9">
    <w:abstractNumId w:val="2"/>
  </w:num>
  <w:num w:numId="10">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C6193"/>
    <w:rsid w:val="000005D2"/>
    <w:rsid w:val="00007056"/>
    <w:rsid w:val="00025BA9"/>
    <w:rsid w:val="0004130F"/>
    <w:rsid w:val="0004642A"/>
    <w:rsid w:val="0005687E"/>
    <w:rsid w:val="00073658"/>
    <w:rsid w:val="0008554C"/>
    <w:rsid w:val="00094634"/>
    <w:rsid w:val="00097515"/>
    <w:rsid w:val="0009754A"/>
    <w:rsid w:val="000A2C75"/>
    <w:rsid w:val="000A41C5"/>
    <w:rsid w:val="000A48AE"/>
    <w:rsid w:val="000B2DDB"/>
    <w:rsid w:val="000B5E4C"/>
    <w:rsid w:val="000C0C2A"/>
    <w:rsid w:val="000D5AF3"/>
    <w:rsid w:val="000E5F1C"/>
    <w:rsid w:val="000F08E2"/>
    <w:rsid w:val="00104A08"/>
    <w:rsid w:val="00106694"/>
    <w:rsid w:val="00111FD7"/>
    <w:rsid w:val="00112B8D"/>
    <w:rsid w:val="0011602F"/>
    <w:rsid w:val="00122D2F"/>
    <w:rsid w:val="00131F07"/>
    <w:rsid w:val="0013383C"/>
    <w:rsid w:val="00135F3E"/>
    <w:rsid w:val="0017041B"/>
    <w:rsid w:val="00176E18"/>
    <w:rsid w:val="001770FF"/>
    <w:rsid w:val="001A3CF9"/>
    <w:rsid w:val="001B06D9"/>
    <w:rsid w:val="001C0066"/>
    <w:rsid w:val="001D4BBA"/>
    <w:rsid w:val="001D5097"/>
    <w:rsid w:val="001E7BB1"/>
    <w:rsid w:val="00206722"/>
    <w:rsid w:val="00206BAD"/>
    <w:rsid w:val="00210706"/>
    <w:rsid w:val="00212BA4"/>
    <w:rsid w:val="00216D5B"/>
    <w:rsid w:val="00220A8C"/>
    <w:rsid w:val="00232A7E"/>
    <w:rsid w:val="00262E3C"/>
    <w:rsid w:val="00264A94"/>
    <w:rsid w:val="00267CF7"/>
    <w:rsid w:val="00277244"/>
    <w:rsid w:val="00295CF4"/>
    <w:rsid w:val="002A5105"/>
    <w:rsid w:val="002B31BF"/>
    <w:rsid w:val="002C3B58"/>
    <w:rsid w:val="002E7E06"/>
    <w:rsid w:val="002F3A25"/>
    <w:rsid w:val="0030074F"/>
    <w:rsid w:val="00310449"/>
    <w:rsid w:val="003149E9"/>
    <w:rsid w:val="003260E5"/>
    <w:rsid w:val="00333089"/>
    <w:rsid w:val="00335604"/>
    <w:rsid w:val="003403EF"/>
    <w:rsid w:val="003425FA"/>
    <w:rsid w:val="0035212A"/>
    <w:rsid w:val="00361A4F"/>
    <w:rsid w:val="00366EC8"/>
    <w:rsid w:val="003677E1"/>
    <w:rsid w:val="00367BCB"/>
    <w:rsid w:val="00372C1A"/>
    <w:rsid w:val="003733F3"/>
    <w:rsid w:val="00385E67"/>
    <w:rsid w:val="00387A9E"/>
    <w:rsid w:val="003931F1"/>
    <w:rsid w:val="00393CE0"/>
    <w:rsid w:val="00395892"/>
    <w:rsid w:val="003B134F"/>
    <w:rsid w:val="003B3396"/>
    <w:rsid w:val="003B45A5"/>
    <w:rsid w:val="003B57F8"/>
    <w:rsid w:val="003C7EDA"/>
    <w:rsid w:val="003D21E0"/>
    <w:rsid w:val="003F7F82"/>
    <w:rsid w:val="00401445"/>
    <w:rsid w:val="00402764"/>
    <w:rsid w:val="004029AD"/>
    <w:rsid w:val="00407446"/>
    <w:rsid w:val="00412430"/>
    <w:rsid w:val="00416B65"/>
    <w:rsid w:val="00422C85"/>
    <w:rsid w:val="00425D11"/>
    <w:rsid w:val="00431646"/>
    <w:rsid w:val="00434A45"/>
    <w:rsid w:val="00455828"/>
    <w:rsid w:val="00461B23"/>
    <w:rsid w:val="00481EBB"/>
    <w:rsid w:val="00487E3F"/>
    <w:rsid w:val="0049488C"/>
    <w:rsid w:val="004B5D24"/>
    <w:rsid w:val="004B5E56"/>
    <w:rsid w:val="004B790F"/>
    <w:rsid w:val="004C4E99"/>
    <w:rsid w:val="004C6162"/>
    <w:rsid w:val="004D1D0D"/>
    <w:rsid w:val="004D2E99"/>
    <w:rsid w:val="004E2D6D"/>
    <w:rsid w:val="004E5F81"/>
    <w:rsid w:val="004F4D1A"/>
    <w:rsid w:val="004F5B01"/>
    <w:rsid w:val="004F753A"/>
    <w:rsid w:val="00500095"/>
    <w:rsid w:val="00514D72"/>
    <w:rsid w:val="005179FD"/>
    <w:rsid w:val="005212F4"/>
    <w:rsid w:val="00527814"/>
    <w:rsid w:val="00527E32"/>
    <w:rsid w:val="00560D6F"/>
    <w:rsid w:val="00574467"/>
    <w:rsid w:val="00575048"/>
    <w:rsid w:val="00576984"/>
    <w:rsid w:val="005868B5"/>
    <w:rsid w:val="005870BC"/>
    <w:rsid w:val="0059468B"/>
    <w:rsid w:val="00596185"/>
    <w:rsid w:val="005A7444"/>
    <w:rsid w:val="005B1264"/>
    <w:rsid w:val="005B2479"/>
    <w:rsid w:val="005D1E92"/>
    <w:rsid w:val="005D29D1"/>
    <w:rsid w:val="005D41CA"/>
    <w:rsid w:val="005D725D"/>
    <w:rsid w:val="0060212F"/>
    <w:rsid w:val="0061739B"/>
    <w:rsid w:val="006213E7"/>
    <w:rsid w:val="00623A76"/>
    <w:rsid w:val="00630C56"/>
    <w:rsid w:val="00637F56"/>
    <w:rsid w:val="006472C5"/>
    <w:rsid w:val="0065003B"/>
    <w:rsid w:val="006560ED"/>
    <w:rsid w:val="00660B9F"/>
    <w:rsid w:val="006678AB"/>
    <w:rsid w:val="006718F9"/>
    <w:rsid w:val="00675D4A"/>
    <w:rsid w:val="006832A6"/>
    <w:rsid w:val="00683737"/>
    <w:rsid w:val="0069102E"/>
    <w:rsid w:val="00694C57"/>
    <w:rsid w:val="006A38DD"/>
    <w:rsid w:val="006B09CB"/>
    <w:rsid w:val="006C264C"/>
    <w:rsid w:val="006C3716"/>
    <w:rsid w:val="006F1E13"/>
    <w:rsid w:val="006F5D3F"/>
    <w:rsid w:val="0071134E"/>
    <w:rsid w:val="00712040"/>
    <w:rsid w:val="00712155"/>
    <w:rsid w:val="00714D9E"/>
    <w:rsid w:val="00743F55"/>
    <w:rsid w:val="0076157F"/>
    <w:rsid w:val="00765E8D"/>
    <w:rsid w:val="00771770"/>
    <w:rsid w:val="00777B0C"/>
    <w:rsid w:val="0078027E"/>
    <w:rsid w:val="00780883"/>
    <w:rsid w:val="007A436C"/>
    <w:rsid w:val="007B7590"/>
    <w:rsid w:val="007C4738"/>
    <w:rsid w:val="007D54FC"/>
    <w:rsid w:val="007E142F"/>
    <w:rsid w:val="007E51FC"/>
    <w:rsid w:val="007F321E"/>
    <w:rsid w:val="00811317"/>
    <w:rsid w:val="00811AD6"/>
    <w:rsid w:val="00812B0D"/>
    <w:rsid w:val="008263A9"/>
    <w:rsid w:val="00833FB5"/>
    <w:rsid w:val="00841F44"/>
    <w:rsid w:val="008571C0"/>
    <w:rsid w:val="00860467"/>
    <w:rsid w:val="008630D1"/>
    <w:rsid w:val="00875A0A"/>
    <w:rsid w:val="008762C0"/>
    <w:rsid w:val="00884393"/>
    <w:rsid w:val="008859D7"/>
    <w:rsid w:val="00890559"/>
    <w:rsid w:val="00890E86"/>
    <w:rsid w:val="00894653"/>
    <w:rsid w:val="008B583E"/>
    <w:rsid w:val="008B7B58"/>
    <w:rsid w:val="008C0F0D"/>
    <w:rsid w:val="008C69B3"/>
    <w:rsid w:val="008E48E4"/>
    <w:rsid w:val="008E4EC5"/>
    <w:rsid w:val="008E7378"/>
    <w:rsid w:val="008E7C30"/>
    <w:rsid w:val="00902F74"/>
    <w:rsid w:val="00915A7A"/>
    <w:rsid w:val="0092559A"/>
    <w:rsid w:val="00925CAD"/>
    <w:rsid w:val="009260F9"/>
    <w:rsid w:val="00930804"/>
    <w:rsid w:val="00935BAF"/>
    <w:rsid w:val="00935EBE"/>
    <w:rsid w:val="00937A10"/>
    <w:rsid w:val="00947487"/>
    <w:rsid w:val="009520E1"/>
    <w:rsid w:val="00963CCC"/>
    <w:rsid w:val="00974591"/>
    <w:rsid w:val="009C4E4B"/>
    <w:rsid w:val="009C7742"/>
    <w:rsid w:val="009D1881"/>
    <w:rsid w:val="009E5B20"/>
    <w:rsid w:val="009F03FC"/>
    <w:rsid w:val="009F6F89"/>
    <w:rsid w:val="00A02846"/>
    <w:rsid w:val="00A02F01"/>
    <w:rsid w:val="00A1359D"/>
    <w:rsid w:val="00A167FE"/>
    <w:rsid w:val="00A169F5"/>
    <w:rsid w:val="00A20225"/>
    <w:rsid w:val="00A26B48"/>
    <w:rsid w:val="00A31CAE"/>
    <w:rsid w:val="00A33E55"/>
    <w:rsid w:val="00A42A92"/>
    <w:rsid w:val="00A57DED"/>
    <w:rsid w:val="00A62B36"/>
    <w:rsid w:val="00A74488"/>
    <w:rsid w:val="00A81233"/>
    <w:rsid w:val="00A82516"/>
    <w:rsid w:val="00A879A0"/>
    <w:rsid w:val="00A90904"/>
    <w:rsid w:val="00A9564F"/>
    <w:rsid w:val="00AA1D59"/>
    <w:rsid w:val="00AB1483"/>
    <w:rsid w:val="00AC5068"/>
    <w:rsid w:val="00AD354C"/>
    <w:rsid w:val="00AD64A1"/>
    <w:rsid w:val="00AF1AC3"/>
    <w:rsid w:val="00AF27A2"/>
    <w:rsid w:val="00AF67F9"/>
    <w:rsid w:val="00AF76DF"/>
    <w:rsid w:val="00B139AD"/>
    <w:rsid w:val="00B14A7C"/>
    <w:rsid w:val="00B31075"/>
    <w:rsid w:val="00B33B6F"/>
    <w:rsid w:val="00B50009"/>
    <w:rsid w:val="00B533F8"/>
    <w:rsid w:val="00B67A78"/>
    <w:rsid w:val="00B845FA"/>
    <w:rsid w:val="00BA1511"/>
    <w:rsid w:val="00BA1A8C"/>
    <w:rsid w:val="00BA2E85"/>
    <w:rsid w:val="00BA6AC3"/>
    <w:rsid w:val="00BA7734"/>
    <w:rsid w:val="00BB7784"/>
    <w:rsid w:val="00BC4C9D"/>
    <w:rsid w:val="00BC5F93"/>
    <w:rsid w:val="00BD1B88"/>
    <w:rsid w:val="00BE20E2"/>
    <w:rsid w:val="00BE6533"/>
    <w:rsid w:val="00C02A19"/>
    <w:rsid w:val="00C04C6D"/>
    <w:rsid w:val="00C05028"/>
    <w:rsid w:val="00C218C0"/>
    <w:rsid w:val="00C5203A"/>
    <w:rsid w:val="00C579B4"/>
    <w:rsid w:val="00C65549"/>
    <w:rsid w:val="00C83834"/>
    <w:rsid w:val="00C90BA2"/>
    <w:rsid w:val="00CA03CA"/>
    <w:rsid w:val="00CA12FF"/>
    <w:rsid w:val="00CC6409"/>
    <w:rsid w:val="00CD012B"/>
    <w:rsid w:val="00CD2D63"/>
    <w:rsid w:val="00CE278D"/>
    <w:rsid w:val="00D0549D"/>
    <w:rsid w:val="00D178D2"/>
    <w:rsid w:val="00D226E9"/>
    <w:rsid w:val="00D22B1F"/>
    <w:rsid w:val="00D70DA6"/>
    <w:rsid w:val="00D92B81"/>
    <w:rsid w:val="00D94206"/>
    <w:rsid w:val="00D95BC8"/>
    <w:rsid w:val="00D96E6A"/>
    <w:rsid w:val="00DB0304"/>
    <w:rsid w:val="00DB7540"/>
    <w:rsid w:val="00DC6193"/>
    <w:rsid w:val="00DD1925"/>
    <w:rsid w:val="00DD59B7"/>
    <w:rsid w:val="00DE2240"/>
    <w:rsid w:val="00DE4DD7"/>
    <w:rsid w:val="00DF1108"/>
    <w:rsid w:val="00E00411"/>
    <w:rsid w:val="00E11F43"/>
    <w:rsid w:val="00E1711C"/>
    <w:rsid w:val="00E22D39"/>
    <w:rsid w:val="00E31163"/>
    <w:rsid w:val="00E3130C"/>
    <w:rsid w:val="00E353FF"/>
    <w:rsid w:val="00E378DE"/>
    <w:rsid w:val="00E401F3"/>
    <w:rsid w:val="00E44DA3"/>
    <w:rsid w:val="00E455A9"/>
    <w:rsid w:val="00E47F4A"/>
    <w:rsid w:val="00E51A9C"/>
    <w:rsid w:val="00E60404"/>
    <w:rsid w:val="00E77245"/>
    <w:rsid w:val="00E971F7"/>
    <w:rsid w:val="00E979E6"/>
    <w:rsid w:val="00E97BB7"/>
    <w:rsid w:val="00EA0137"/>
    <w:rsid w:val="00EB00B7"/>
    <w:rsid w:val="00EC71AD"/>
    <w:rsid w:val="00F00755"/>
    <w:rsid w:val="00F01192"/>
    <w:rsid w:val="00F0232E"/>
    <w:rsid w:val="00F1451E"/>
    <w:rsid w:val="00F355DD"/>
    <w:rsid w:val="00F35B18"/>
    <w:rsid w:val="00F53DD8"/>
    <w:rsid w:val="00F6217E"/>
    <w:rsid w:val="00F66DDC"/>
    <w:rsid w:val="00F674B9"/>
    <w:rsid w:val="00F80B57"/>
    <w:rsid w:val="00F87461"/>
    <w:rsid w:val="00F919FB"/>
    <w:rsid w:val="00F925B3"/>
    <w:rsid w:val="00FA2470"/>
    <w:rsid w:val="00FB4F20"/>
    <w:rsid w:val="00FC18B5"/>
    <w:rsid w:val="00FC502F"/>
    <w:rsid w:val="00FD5F86"/>
    <w:rsid w:val="00FE65BD"/>
    <w:rsid w:val="00FF13A4"/>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5BAF"/>
    <w:pPr>
      <w:spacing w:after="80"/>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DC6193"/>
    <w:pPr>
      <w:spacing w:before="100" w:beforeAutospacing="1" w:after="100" w:afterAutospacing="1"/>
    </w:pPr>
    <w:rPr>
      <w:rFonts w:ascii="Times New Roman" w:eastAsia="Times New Roman" w:hAnsi="Times New Roman"/>
      <w:sz w:val="24"/>
      <w:szCs w:val="24"/>
      <w:lang w:eastAsia="pl-PL"/>
    </w:rPr>
  </w:style>
  <w:style w:type="character" w:styleId="Strong">
    <w:name w:val="Strong"/>
    <w:basedOn w:val="DefaultParagraphFont"/>
    <w:uiPriority w:val="99"/>
    <w:qFormat/>
    <w:rsid w:val="00DC6193"/>
    <w:rPr>
      <w:rFonts w:cs="Times New Roman"/>
      <w:b/>
      <w:bCs/>
    </w:rPr>
  </w:style>
  <w:style w:type="paragraph" w:styleId="Header">
    <w:name w:val="header"/>
    <w:basedOn w:val="Normal"/>
    <w:link w:val="HeaderChar"/>
    <w:uiPriority w:val="99"/>
    <w:rsid w:val="001C0066"/>
    <w:pPr>
      <w:tabs>
        <w:tab w:val="center" w:pos="4536"/>
        <w:tab w:val="right" w:pos="9072"/>
      </w:tabs>
      <w:spacing w:after="0"/>
    </w:pPr>
  </w:style>
  <w:style w:type="character" w:customStyle="1" w:styleId="HeaderChar">
    <w:name w:val="Header Char"/>
    <w:basedOn w:val="DefaultParagraphFont"/>
    <w:link w:val="Header"/>
    <w:uiPriority w:val="99"/>
    <w:locked/>
    <w:rsid w:val="001C0066"/>
    <w:rPr>
      <w:rFonts w:cs="Times New Roman"/>
    </w:rPr>
  </w:style>
  <w:style w:type="paragraph" w:styleId="Footer">
    <w:name w:val="footer"/>
    <w:basedOn w:val="Normal"/>
    <w:link w:val="FooterChar"/>
    <w:uiPriority w:val="99"/>
    <w:rsid w:val="001C0066"/>
    <w:pPr>
      <w:tabs>
        <w:tab w:val="center" w:pos="4536"/>
        <w:tab w:val="right" w:pos="9072"/>
      </w:tabs>
      <w:spacing w:after="0"/>
    </w:pPr>
  </w:style>
  <w:style w:type="character" w:customStyle="1" w:styleId="FooterChar">
    <w:name w:val="Footer Char"/>
    <w:basedOn w:val="DefaultParagraphFont"/>
    <w:link w:val="Footer"/>
    <w:uiPriority w:val="99"/>
    <w:locked/>
    <w:rsid w:val="001C0066"/>
    <w:rPr>
      <w:rFonts w:cs="Times New Roman"/>
    </w:rPr>
  </w:style>
  <w:style w:type="paragraph" w:styleId="ListParagraph">
    <w:name w:val="List Paragraph"/>
    <w:basedOn w:val="Normal"/>
    <w:uiPriority w:val="99"/>
    <w:qFormat/>
    <w:rsid w:val="00267CF7"/>
    <w:pPr>
      <w:ind w:left="720"/>
      <w:contextualSpacing/>
    </w:pPr>
  </w:style>
  <w:style w:type="paragraph" w:styleId="BalloonText">
    <w:name w:val="Balloon Text"/>
    <w:basedOn w:val="Normal"/>
    <w:link w:val="BalloonTextChar"/>
    <w:uiPriority w:val="99"/>
    <w:semiHidden/>
    <w:rsid w:val="00264A94"/>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264A94"/>
    <w:rPr>
      <w:rFonts w:ascii="Tahoma" w:hAnsi="Tahoma" w:cs="Tahoma"/>
      <w:sz w:val="16"/>
      <w:szCs w:val="16"/>
    </w:rPr>
  </w:style>
  <w:style w:type="paragraph" w:styleId="FootnoteText">
    <w:name w:val="footnote text"/>
    <w:basedOn w:val="Normal"/>
    <w:link w:val="FootnoteTextChar"/>
    <w:uiPriority w:val="99"/>
    <w:semiHidden/>
    <w:rsid w:val="00A57DED"/>
    <w:pPr>
      <w:spacing w:after="0"/>
    </w:pPr>
    <w:rPr>
      <w:sz w:val="20"/>
      <w:szCs w:val="20"/>
    </w:rPr>
  </w:style>
  <w:style w:type="character" w:customStyle="1" w:styleId="FootnoteTextChar">
    <w:name w:val="Footnote Text Char"/>
    <w:basedOn w:val="DefaultParagraphFont"/>
    <w:link w:val="FootnoteText"/>
    <w:uiPriority w:val="99"/>
    <w:semiHidden/>
    <w:locked/>
    <w:rsid w:val="00A57DED"/>
    <w:rPr>
      <w:rFonts w:cs="Times New Roman"/>
      <w:sz w:val="20"/>
      <w:szCs w:val="20"/>
    </w:rPr>
  </w:style>
  <w:style w:type="character" w:styleId="FootnoteReference">
    <w:name w:val="footnote reference"/>
    <w:basedOn w:val="DefaultParagraphFont"/>
    <w:uiPriority w:val="99"/>
    <w:semiHidden/>
    <w:rsid w:val="00A57DED"/>
    <w:rPr>
      <w:rFonts w:cs="Times New Roman"/>
      <w:vertAlign w:val="superscript"/>
    </w:rPr>
  </w:style>
  <w:style w:type="paragraph" w:styleId="EndnoteText">
    <w:name w:val="endnote text"/>
    <w:basedOn w:val="Normal"/>
    <w:link w:val="EndnoteTextChar"/>
    <w:uiPriority w:val="99"/>
    <w:semiHidden/>
    <w:rsid w:val="00623A76"/>
    <w:pPr>
      <w:spacing w:after="0"/>
    </w:pPr>
    <w:rPr>
      <w:sz w:val="20"/>
      <w:szCs w:val="20"/>
    </w:rPr>
  </w:style>
  <w:style w:type="character" w:customStyle="1" w:styleId="EndnoteTextChar">
    <w:name w:val="Endnote Text Char"/>
    <w:basedOn w:val="DefaultParagraphFont"/>
    <w:link w:val="EndnoteText"/>
    <w:uiPriority w:val="99"/>
    <w:semiHidden/>
    <w:locked/>
    <w:rsid w:val="00623A76"/>
    <w:rPr>
      <w:rFonts w:cs="Times New Roman"/>
      <w:sz w:val="20"/>
      <w:szCs w:val="20"/>
    </w:rPr>
  </w:style>
  <w:style w:type="character" w:styleId="EndnoteReference">
    <w:name w:val="endnote reference"/>
    <w:basedOn w:val="DefaultParagraphFont"/>
    <w:uiPriority w:val="99"/>
    <w:semiHidden/>
    <w:rsid w:val="00623A76"/>
    <w:rPr>
      <w:rFonts w:cs="Times New Roman"/>
      <w:vertAlign w:val="superscript"/>
    </w:rPr>
  </w:style>
</w:styles>
</file>

<file path=word/webSettings.xml><?xml version="1.0" encoding="utf-8"?>
<w:webSettings xmlns:r="http://schemas.openxmlformats.org/officeDocument/2006/relationships" xmlns:w="http://schemas.openxmlformats.org/wordprocessingml/2006/main">
  <w:divs>
    <w:div w:id="258416941">
      <w:marLeft w:val="0"/>
      <w:marRight w:val="0"/>
      <w:marTop w:val="0"/>
      <w:marBottom w:val="0"/>
      <w:divBdr>
        <w:top w:val="none" w:sz="0" w:space="0" w:color="auto"/>
        <w:left w:val="none" w:sz="0" w:space="0" w:color="auto"/>
        <w:bottom w:val="none" w:sz="0" w:space="0" w:color="auto"/>
        <w:right w:val="none" w:sz="0" w:space="0" w:color="auto"/>
      </w:divBdr>
    </w:div>
    <w:div w:id="258416942">
      <w:marLeft w:val="0"/>
      <w:marRight w:val="0"/>
      <w:marTop w:val="0"/>
      <w:marBottom w:val="0"/>
      <w:divBdr>
        <w:top w:val="none" w:sz="0" w:space="0" w:color="auto"/>
        <w:left w:val="none" w:sz="0" w:space="0" w:color="auto"/>
        <w:bottom w:val="none" w:sz="0" w:space="0" w:color="auto"/>
        <w:right w:val="none" w:sz="0" w:space="0" w:color="auto"/>
      </w:divBdr>
    </w:div>
    <w:div w:id="258416943">
      <w:marLeft w:val="0"/>
      <w:marRight w:val="0"/>
      <w:marTop w:val="0"/>
      <w:marBottom w:val="0"/>
      <w:divBdr>
        <w:top w:val="none" w:sz="0" w:space="0" w:color="auto"/>
        <w:left w:val="none" w:sz="0" w:space="0" w:color="auto"/>
        <w:bottom w:val="none" w:sz="0" w:space="0" w:color="auto"/>
        <w:right w:val="none" w:sz="0" w:space="0" w:color="auto"/>
      </w:divBdr>
    </w:div>
    <w:div w:id="258416944">
      <w:marLeft w:val="0"/>
      <w:marRight w:val="0"/>
      <w:marTop w:val="0"/>
      <w:marBottom w:val="0"/>
      <w:divBdr>
        <w:top w:val="none" w:sz="0" w:space="0" w:color="auto"/>
        <w:left w:val="none" w:sz="0" w:space="0" w:color="auto"/>
        <w:bottom w:val="none" w:sz="0" w:space="0" w:color="auto"/>
        <w:right w:val="none" w:sz="0" w:space="0" w:color="auto"/>
      </w:divBdr>
    </w:div>
    <w:div w:id="258416945">
      <w:marLeft w:val="0"/>
      <w:marRight w:val="0"/>
      <w:marTop w:val="0"/>
      <w:marBottom w:val="0"/>
      <w:divBdr>
        <w:top w:val="none" w:sz="0" w:space="0" w:color="auto"/>
        <w:left w:val="none" w:sz="0" w:space="0" w:color="auto"/>
        <w:bottom w:val="none" w:sz="0" w:space="0" w:color="auto"/>
        <w:right w:val="none" w:sz="0" w:space="0" w:color="auto"/>
      </w:divBdr>
    </w:div>
    <w:div w:id="25841694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712</TotalTime>
  <Pages>8</Pages>
  <Words>3798</Words>
  <Characters>22788</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Biuro</cp:lastModifiedBy>
  <cp:revision>17</cp:revision>
  <cp:lastPrinted>2018-07-25T09:36:00Z</cp:lastPrinted>
  <dcterms:created xsi:type="dcterms:W3CDTF">2018-07-17T08:32:00Z</dcterms:created>
  <dcterms:modified xsi:type="dcterms:W3CDTF">2018-07-25T09:36:00Z</dcterms:modified>
</cp:coreProperties>
</file>