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77596A" w:rsidRDefault="00404A82" w:rsidP="005E4B55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0658D4">
        <w:rPr>
          <w:rFonts w:ascii="Times New Roman" w:hAnsi="Times New Roman" w:cs="Times New Roman"/>
          <w:sz w:val="26"/>
          <w:szCs w:val="26"/>
        </w:rPr>
        <w:t>22</w:t>
      </w:r>
      <w:bookmarkStart w:id="0" w:name="_GoBack"/>
      <w:bookmarkEnd w:id="0"/>
      <w:r w:rsidR="0077596A" w:rsidRPr="0077596A">
        <w:rPr>
          <w:rFonts w:ascii="Times New Roman" w:hAnsi="Times New Roman" w:cs="Times New Roman"/>
          <w:sz w:val="26"/>
          <w:szCs w:val="26"/>
        </w:rPr>
        <w:t>.12</w:t>
      </w:r>
      <w:r w:rsidR="0050365E" w:rsidRPr="0077596A">
        <w:rPr>
          <w:rFonts w:ascii="Times New Roman" w:hAnsi="Times New Roman" w:cs="Times New Roman"/>
          <w:sz w:val="26"/>
          <w:szCs w:val="26"/>
        </w:rPr>
        <w:t>.2015</w:t>
      </w:r>
      <w:r w:rsidR="00823A34" w:rsidRPr="0077596A">
        <w:rPr>
          <w:rFonts w:ascii="Times New Roman" w:hAnsi="Times New Roman" w:cs="Times New Roman"/>
          <w:sz w:val="26"/>
          <w:szCs w:val="26"/>
        </w:rPr>
        <w:t xml:space="preserve"> </w:t>
      </w:r>
      <w:r w:rsidRPr="0077596A">
        <w:rPr>
          <w:rFonts w:ascii="Times New Roman" w:hAnsi="Times New Roman" w:cs="Times New Roman"/>
          <w:sz w:val="26"/>
          <w:szCs w:val="26"/>
        </w:rPr>
        <w:t>r.</w:t>
      </w:r>
    </w:p>
    <w:p w:rsidR="009D07DD" w:rsidRPr="0077596A" w:rsidRDefault="009D07DD" w:rsidP="009D07DD">
      <w:pPr>
        <w:spacing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77596A" w:rsidRPr="0077596A" w:rsidRDefault="0077596A" w:rsidP="0077596A">
      <w:pPr>
        <w:spacing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77596A">
        <w:rPr>
          <w:rFonts w:ascii="Times New Roman" w:eastAsia="Calibri" w:hAnsi="Times New Roman" w:cs="Times New Roman"/>
          <w:sz w:val="26"/>
          <w:szCs w:val="26"/>
        </w:rPr>
        <w:t>ROŚ.6220.3.3</w:t>
      </w:r>
      <w:r w:rsidRPr="0077596A">
        <w:rPr>
          <w:rFonts w:ascii="Times New Roman" w:eastAsia="Calibri" w:hAnsi="Times New Roman" w:cs="Times New Roman"/>
          <w:sz w:val="26"/>
          <w:szCs w:val="26"/>
        </w:rPr>
        <w:t>.2015</w:t>
      </w:r>
    </w:p>
    <w:p w:rsidR="00A54F3B" w:rsidRPr="0077596A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596A">
        <w:rPr>
          <w:rFonts w:ascii="Times New Roman" w:hAnsi="Times New Roman" w:cs="Times New Roman"/>
          <w:b/>
          <w:sz w:val="26"/>
          <w:szCs w:val="26"/>
        </w:rPr>
        <w:t>DECYZJA</w:t>
      </w:r>
    </w:p>
    <w:p w:rsidR="00A54F3B" w:rsidRPr="0077596A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596A">
        <w:rPr>
          <w:rFonts w:ascii="Times New Roman" w:hAnsi="Times New Roman" w:cs="Times New Roman"/>
          <w:b/>
          <w:sz w:val="26"/>
          <w:szCs w:val="26"/>
        </w:rPr>
        <w:t>o środowiskowych uwarunkowaniach</w:t>
      </w:r>
    </w:p>
    <w:p w:rsidR="009D07DD" w:rsidRPr="0077596A" w:rsidRDefault="00A54F3B" w:rsidP="005E4B55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Na podstawie art. 104 ustawy z dnia 14 czerwca 1960r. Kodeks postępowania administracyjnego (Dz. U. z 2013 r., poz. 267 ,t.j.) w związku z art. 71 ust 2 </w:t>
      </w:r>
      <w:r w:rsidR="00730038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pkt. 2</w:t>
      </w: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, art. 75 ust. 1 pkt. 4 oraz art. 84 ustawy z dnia 3 października 2008 r. o udostępnianiu informacji o środowisku i jego ochronie, udziale społeczeństwa w ochronie środowiska oraz o ocenach oddziaływania na środowisko (Dz.U.2013.1235 j.t.),</w:t>
      </w:r>
      <w:r w:rsidRPr="0077596A">
        <w:rPr>
          <w:rFonts w:ascii="Times New Roman" w:hAnsi="Times New Roman" w:cs="Times New Roman"/>
          <w:sz w:val="26"/>
          <w:szCs w:val="26"/>
        </w:rPr>
        <w:t xml:space="preserve"> </w:t>
      </w:r>
      <w:r w:rsidR="0050365E" w:rsidRPr="0077596A">
        <w:rPr>
          <w:rFonts w:ascii="Times New Roman" w:hAnsi="Times New Roman" w:cs="Times New Roman"/>
          <w:sz w:val="26"/>
          <w:szCs w:val="26"/>
        </w:rPr>
        <w:t>a także w</w:t>
      </w:r>
      <w:r w:rsidR="00B54672" w:rsidRPr="0077596A">
        <w:rPr>
          <w:rFonts w:ascii="Times New Roman" w:hAnsi="Times New Roman" w:cs="Times New Roman"/>
          <w:sz w:val="26"/>
          <w:szCs w:val="26"/>
        </w:rPr>
        <w:t xml:space="preserve"> </w:t>
      </w:r>
      <w:r w:rsidR="0077596A" w:rsidRPr="0077596A">
        <w:rPr>
          <w:rFonts w:ascii="Times New Roman" w:hAnsi="Times New Roman" w:cs="Times New Roman"/>
          <w:sz w:val="26"/>
          <w:szCs w:val="26"/>
        </w:rPr>
        <w:t xml:space="preserve">§ 3 ust. 1 pkt 52 lit. b) </w:t>
      </w:r>
      <w:r w:rsidR="0050365E" w:rsidRPr="0077596A">
        <w:rPr>
          <w:rFonts w:ascii="Times New Roman" w:hAnsi="Times New Roman" w:cs="Times New Roman"/>
          <w:sz w:val="26"/>
          <w:szCs w:val="26"/>
        </w:rPr>
        <w:t xml:space="preserve">rozporządzenia Rady Ministrów z dnia 9 listopada 2010r. w sprawie przedsięwzięć mogących znacząco oddziaływać na środowisko (Dz. U. z 2010r. Nr 213 poz. 1397 ze zm.), </w:t>
      </w:r>
      <w:r w:rsidR="0077596A" w:rsidRPr="0077596A">
        <w:rPr>
          <w:rFonts w:ascii="Times New Roman" w:hAnsi="Times New Roman" w:cs="Times New Roman"/>
          <w:sz w:val="26"/>
          <w:szCs w:val="26"/>
        </w:rPr>
        <w:t>po rozpatrzeniu wniosku z dnia 10.06.2015 r. po uzupełnieniu w dniu 16.06.2015 r. R.Power Solar Centrum Sp. z o. o., ul. Domaniewska 39A, 02-672 Warszawa.</w:t>
      </w:r>
    </w:p>
    <w:p w:rsidR="00823A34" w:rsidRPr="0077596A" w:rsidRDefault="00217F08" w:rsidP="0050365E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ab/>
      </w:r>
      <w:r w:rsidR="00404A82"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</w:t>
      </w:r>
    </w:p>
    <w:p w:rsidR="0050365E" w:rsidRPr="0077596A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stwierdzam brak potrzeby</w:t>
      </w:r>
    </w:p>
    <w:p w:rsidR="0050365E" w:rsidRPr="0077596A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B54672" w:rsidRPr="0077596A" w:rsidRDefault="0050365E" w:rsidP="0050365E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ab/>
      </w:r>
    </w:p>
    <w:p w:rsidR="0050365E" w:rsidRPr="0077596A" w:rsidRDefault="0050365E" w:rsidP="0050365E">
      <w:pPr>
        <w:pStyle w:val="Bezodstpw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pn. : </w:t>
      </w:r>
      <w:r w:rsidR="0077596A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„</w:t>
      </w:r>
      <w:r w:rsidR="0077596A"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Budowie Elektrowni Słonecznej wraz z infrastrukturą towarzyszącą na działce nr ew. 42/5  (obręb 0001) w miejscowości Bierzgłowo, Gmina Łubianka”</w:t>
      </w:r>
    </w:p>
    <w:p w:rsidR="00823A34" w:rsidRPr="0077596A" w:rsidRDefault="00823A34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404A82" w:rsidRPr="0077596A" w:rsidRDefault="00404A82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UZASADNIENIE</w:t>
      </w:r>
    </w:p>
    <w:p w:rsidR="0050365E" w:rsidRPr="0077596A" w:rsidRDefault="00AB7602" w:rsidP="0050365E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</w:p>
    <w:p w:rsidR="0077596A" w:rsidRPr="0077596A" w:rsidRDefault="0077596A" w:rsidP="0077596A">
      <w:pPr>
        <w:pStyle w:val="Bezodstpw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Dnia 10.06.2015 r. (po uzupełnieniu w dniu 16.06.2015 r.) R.Power Solar Centrum Sp. z o. o., ul. Domaniewska 39A, 02-672 Warszawa, zwróciła się z wnioskiem o wydanie decyzji o środowiskowych uwarunkowań zgody na realizację przedsięwzięcia pn.: „Budowie Elektrowni Słonecznej wraz z infrastrukturą towarzyszącą na działce nr ew. 42/5  (obręb 0001) w miejscowości Bierzgłowo, Gmina Łubianka”.</w:t>
      </w:r>
    </w:p>
    <w:p w:rsidR="0077596A" w:rsidRPr="0077596A" w:rsidRDefault="0077596A" w:rsidP="0077596A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>Na podstawie art. 64 ust. 1 pkt. 1 i 2 ustawy z dnia 3 października 2008r. o udostępnianiu informacji o środowisku i jego ochronie, udziale społeczeństwa w ochronie środowiska oraz o ocenach oddziaływania na środowisko, Wójt Gminy Łubianka pismem znak ROŚ.6220.3.1.2015 z dnia 30.06.2015 r. wystąpił do Regionalnego Dyrektora Ochrony Środowiska w Bydgoszczy i Państwowego Powiatowego Inspektora Sanitarnego w Toruniu o wydanie opinii w sprawie obowiązku przeprowadzenia oceny oddziaływania na środowisko przedmiotowej inwestycji.                                           </w:t>
      </w: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Państwowy Powiatowy Inspektor Sanitarny w Toruniu opinią (znak N.NZ.40.2.4.3.2015) z dnia 21.07.2015 r. uznał, że dla powyższego przedsięwzięcia nie ma konieczności przeprowadzenia oceny oddziaływania na środowisko. </w:t>
      </w:r>
    </w:p>
    <w:p w:rsidR="0077596A" w:rsidRPr="0077596A" w:rsidRDefault="0077596A" w:rsidP="0077596A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ab/>
        <w:t>Regionalny Dyrektor Ochrony Środowiska w Bydgoszczy wezwał inwestora do uzupełnienia karty informacyjnej przedsięwzięcia (pismem: znak WOO.4240.405.2015.PP z dnia 27.07.2015 r.). Inwestor uzupełnił kartę informacyjną zgodnie z otrzymanym wezwaniem (pismem z dnia 03.08.2014 r. wpływ do tut. Urzędu 07.08.2015 r.).</w:t>
      </w:r>
    </w:p>
    <w:p w:rsidR="0077596A" w:rsidRPr="0077596A" w:rsidRDefault="0077596A" w:rsidP="0077596A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Regionalny Dyrektor Ochrony Środowiska w Bydgoszczy postanowieniem znak WOO.4240.405.2015.PP.2 z dnia 20.08.2015 r. wyraził opinię, że dla ww. przedsięwzięcia nie istnieje  konieczność przeprowadzenia oceny oddziaływania na środowisko. </w:t>
      </w:r>
    </w:p>
    <w:p w:rsidR="00BC2E8A" w:rsidRPr="0077596A" w:rsidRDefault="00BC2E8A" w:rsidP="005E4B55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EC5C41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Postanowieniem z dnia</w:t>
      </w:r>
      <w:r w:rsidR="0077596A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20.11</w:t>
      </w:r>
      <w:r w:rsidR="0050365E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.2015 </w:t>
      </w: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znak </w:t>
      </w:r>
      <w:r w:rsidR="0077596A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ROŚ.6220.3.2.2015 </w:t>
      </w:r>
      <w:r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Wójt Gminy Łubianka stwierdził brak potrzeby przeprowadzenia oceny oddziaływania na środowisko dla ww. planowanej inwestycji.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Po zapoznaniu się z załączoną  do wniosku kartą informacyjną (uzupełnioną dnia 07.08.2015 r.) stwierdzono, że jest to przedsięwzięcie mogące potencjalnie znacząco oddziaływać na środowisko, wymienione w § 3 ust. 1 pkt 52 lit. B) ww. rozporządzenia Rady Ministrów z dnia 9 listopada 2010 r.: „zabudowa przemysłowa, w tym zabudowa systemami fotowoltaicznymi, lub magazynowa, wraz z towarzyszącą jej infrastrukturą, o powierzchni zabudowy nie mniejszej niż: </w:t>
      </w:r>
      <w:smartTag w:uri="urn:schemas-microsoft-com:office:smarttags" w:element="metricconverter">
        <w:smartTagPr>
          <w:attr w:name="ProductID" w:val="1 ha"/>
        </w:smartTagPr>
        <w:r w:rsidRPr="0077596A">
          <w:rPr>
            <w:rFonts w:ascii="Times New Roman" w:hAnsi="Times New Roman" w:cs="Times New Roman"/>
            <w:sz w:val="26"/>
            <w:szCs w:val="26"/>
          </w:rPr>
          <w:t>1 ha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 na obszarach innych niż wymienione w lit. a) – przy czym przez powierzchnię zabudowy rozumie się powierzchnię terenu zajętą prze obiekty budowlane oraz pozostałą powierzchnię przeznaczoną do przekształcenia w wyniku realizacji przedsięwzięcia”.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W odniesieniu do uwarunkowań wymienionych w art. 63 ust. 1 ww. ustawy z dnia 3 października 2008 r. o udostępnianiu informacji o środowisku i jego ochronie, udziale społeczeństwa w ochronie środowiska oraz o ocenach oddziaływania na środowisko, tutejszy Organ przeanalizował rodzaj i charakter planowanej inwestycji, usytuowanie przedsięwzięcia, zważywszy na możliwe zagrożenia dla środowiska, jak również rodzaj i skalę możliwego oddziaływania.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Działka przeznaczona pod planowaną inwestycję nie jest objęta aktualnym miejscowym planem zagospodarowania przestrzennego.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Przedsięwzięcie będzie polegało na budowie instalacji wraz z infrastrukturą towarzyszącą, na działce nr 42/5 (obręb 0001) w miejscowości Bierzgłowo, gm. Łubianka.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Powierzchnia działki inwestycyjnej wynosi </w:t>
      </w:r>
      <w:smartTag w:uri="urn:schemas-microsoft-com:office:smarttags" w:element="metricconverter">
        <w:smartTagPr>
          <w:attr w:name="ProductID" w:val="3,8372 ha"/>
        </w:smartTagPr>
        <w:r w:rsidRPr="0077596A">
          <w:rPr>
            <w:rFonts w:ascii="Times New Roman" w:hAnsi="Times New Roman" w:cs="Times New Roman"/>
            <w:sz w:val="26"/>
            <w:szCs w:val="26"/>
          </w:rPr>
          <w:t>3,8372 ha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, a obszar objęty zabudową przemysłową wyniesie ok. </w:t>
      </w:r>
      <w:smartTag w:uri="urn:schemas-microsoft-com:office:smarttags" w:element="metricconverter">
        <w:smartTagPr>
          <w:attr w:name="ProductID" w:val="2,5 ha"/>
        </w:smartTagPr>
        <w:r w:rsidRPr="0077596A">
          <w:rPr>
            <w:rFonts w:ascii="Times New Roman" w:hAnsi="Times New Roman" w:cs="Times New Roman"/>
            <w:sz w:val="26"/>
            <w:szCs w:val="26"/>
          </w:rPr>
          <w:t>2,5 ha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Z kolei teren faktycznie zajęty pod zabudowę przez zespół paneli fotowoltaicznych wraz z infrastrukturą towarzyszącą oraz pozostałą powierzchnią przeznaczoną do przekształcenia (nie wliczając przerw miedzy rzędami paneli), obejmie powierzchnię ok. </w:t>
      </w:r>
      <w:smartTag w:uri="urn:schemas-microsoft-com:office:smarttags" w:element="metricconverter">
        <w:smartTagPr>
          <w:attr w:name="ProductID" w:val="1,0 ha"/>
        </w:smartTagPr>
        <w:r w:rsidRPr="0077596A">
          <w:rPr>
            <w:rFonts w:ascii="Times New Roman" w:hAnsi="Times New Roman" w:cs="Times New Roman"/>
            <w:sz w:val="26"/>
            <w:szCs w:val="26"/>
          </w:rPr>
          <w:t>1,0 ha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Najbliższa zabudowa mieszkaniowa podlegająca ochronie akustycznej znajduje się w odległości ok. </w:t>
      </w:r>
      <w:smartTag w:uri="urn:schemas-microsoft-com:office:smarttags" w:element="metricconverter">
        <w:smartTagPr>
          <w:attr w:name="ProductID" w:val="130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130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 od planowanej farmy fotowoltaicznej, w kierunku południowym.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Instalacja służyć będzie do wytwarzania energii elektrycznej z energii słonecznej. Ogniwo fotowoltaiczne, jest to urządzenie, które przekształca promienie słoneczne bezpośrednio w elektryczność. Zjawisko to nosi nazwę efektu fotowoltaicznego. Z </w:t>
      </w:r>
      <w:r w:rsidRPr="0077596A">
        <w:rPr>
          <w:rFonts w:ascii="Times New Roman" w:hAnsi="Times New Roman" w:cs="Times New Roman"/>
          <w:sz w:val="26"/>
          <w:szCs w:val="26"/>
        </w:rPr>
        <w:lastRenderedPageBreak/>
        <w:t xml:space="preserve">połączenia od kilku do kilkudziesięciu ogniw uzyskuje się moduł (panel). Planowana farma fotowoltaiczna składać się będzie z zespołu paneli w ilości 4 000 sztuk. Panele zostaną umieszczone w rzędach, między którymi pozostawiony będzie odstęp od 3 do </w:t>
      </w:r>
      <w:smartTag w:uri="urn:schemas-microsoft-com:office:smarttags" w:element="metricconverter">
        <w:smartTagPr>
          <w:attr w:name="ProductID" w:val="10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10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Przestrzeń pomiędzy rzędami paneli nie będzie przekształcana i pozostanie biologicznie czynna. W ramach jednego rzędu, panele zostaną połączone za pomocą stalowych konstrukcji i posadowione na podporach – słupkach wkręconych (lub wbitych) w grunt na głębokość około 1,5 - </w:t>
      </w:r>
      <w:smartTag w:uri="urn:schemas-microsoft-com:office:smarttags" w:element="metricconverter">
        <w:smartTagPr>
          <w:attr w:name="ProductID" w:val="2,5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2,5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Średnia wysokość na której usytuowany będzie panel fotowoltaiczny wynosi ok. </w:t>
      </w:r>
      <w:smartTag w:uri="urn:schemas-microsoft-com:office:smarttags" w:element="metricconverter">
        <w:smartTagPr>
          <w:attr w:name="ProductID" w:val="0,5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0,5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Wysokość panelu w rzucie bocznym wraz ze słupkiem nie przekroczy </w:t>
      </w:r>
      <w:smartTag w:uri="urn:schemas-microsoft-com:office:smarttags" w:element="metricconverter">
        <w:smartTagPr>
          <w:attr w:name="ProductID" w:val="5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5 m</w:t>
        </w:r>
      </w:smartTag>
      <w:r w:rsidRPr="0077596A">
        <w:rPr>
          <w:rFonts w:ascii="Times New Roman" w:hAnsi="Times New Roman" w:cs="Times New Roman"/>
          <w:sz w:val="26"/>
          <w:szCs w:val="26"/>
        </w:rPr>
        <w:t>. Panele będą skierowane w stronę południową i nachylone do ziemi pod kątem ok. 20 do 35 stopni.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Kolejnym elementem systemu fotowoltaicznego są przetwornice (inwertory). Ich zadaniem jest przekształcenie prądu stałego w prąd przemienny, który może trafić do sieci elektroenergetycznej. Z inwerterów trasami kablowymi energia elektryczna przesyłana będzie do transformatora, którego zadaniem będzie podniesienie napięcia do wartości 15 kV, aby możliwa była współpraca z siecią dystrybucyjną.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Planowane jest przyłączenie elektrowni słonecznej do istniejącej linii napowietrznej średniego napięcia.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Zarówno oddziaływanie pola magnetycznego jak i pola elektrycznego jest znikome. Silne pole magnetyczne stanowiące istotę działania transformatora zawiera się w jego rdzeniu i jedynie w postaci szczątkowej wydostaje się na zewnątrz. Natomiast pole elektryczne jest całkowicie ekranowane przez metalową uziemiona obudowę transformatora. Zabezpieczenie środowiska gruntowo-wodnego zapewnione będzie poprzez instalację indywidualnej misy olejowej dla pojedynczego transformatora. Misa olejowa, wykonana będzie z materiałów olejoodpornych i wodoodpornych, a ich pojemność wynosić będzie minimum 110% zawartości oleju. Transformator umieszczony będzie w kontenerze. Kontener jako abonencka stacja elektroenergetyczna składa się z komory obsługi, komory transformatora 0,4/15 kV, rozdzielnicy niskiego napięcia oraz rozdzielnicy średniego napięcia. Odległość stacji transformatorowej od najbliższej zabudowy mieszkaniowej wyniesie ok.135 m.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Obszar planowanego przedsięwzięcia zostanie ogrodzony. Panele fotowoltaiczne posadowione zostaną w odległości nie mniejszej niż </w:t>
      </w:r>
      <w:smartTag w:uri="urn:schemas-microsoft-com:office:smarttags" w:element="metricconverter">
        <w:smartTagPr>
          <w:attr w:name="ProductID" w:val="4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4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 od ogrodzenia działek inwestycyjnych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W trakcie prowadzenia prac realizacyjnych może nastąpić wzrost emisji zanieczyszczeń do powietrza atmosferycznego oraz poziomu dźwięku, związanego z pracą sprzętu budowlanego i transportem materiałów. Powyższe oddziaływania będą miały charakter przejściowy oraz odwracalny. W celu zminimalizowania uciążliwości związanych z etapem realizacji przedsięwzięcia prace ziemne będą prowadzone wyłącznie w godzinach dziennych (6ºº - 22ºº), w sposób niedopuszczający do przypadkowego wycieku substancji ropopochodnych. Używany sprzęt będzie sprawny technicznie, a wszelkie jego konserwacje, uzupełnianie paliwa, przeglądy i naprawy, wykonywane w miejscu specjalnie do tego celu przeznaczonym. Zaplecze budowlane zlokalizowane będzie w oddaleniu od zabudowy podlegającej ochronie akustycznej. Gęstość zaludnienia w gminie Łubianka wg. GUS z 2013 r. wynosi 77 os.  na km2.  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lastRenderedPageBreak/>
        <w:t>Wytworzone podczas realizacji zadania odpady będą selektywnie gromadzone, a następnie przekazywane uprawnionym odbiorcom (posiadającym stosowne decyzje) do odzysku lub unieszkodliwiania.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Ścieki socjalno-bytowe powstające na etapie realizacji zadania, gromadzone będą w przenośnych toaletach systematycznie opróżnianych przez podmioty posiadające stosowne zdzwonienie w tym zakresie.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Eksploatacja projektowanej instalacji fotowoltaicznej nie będzie powodowała hałasu oraz emisji zanieczyszczeń do powietrza atmosferycznego.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Planowana inwestycja nie będzie wymagała na etapie eksploatacji stałej obsługi, zaplecza socjalnego, ani infrastruktury wodno-kanalizacyjnej.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Ewentualne mycie modułów odbywało się będzie 1-2 razy w roku, przy użyciu zdemineralizowanej wody, nie zawierającej środków chemicznych i za pomocą technologii polegającej na użyciu specjalnych szczotek.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Aby zapobiec ewentualnemu przedostaniu się oleju lub cieczy izolacyjnej do środowiska w wyniku awarii, pod transformatorami, jak powyżej wspomniano, znajdować się będą szczelne misy olejowe, będące w stanie zmagazynować 110% oleju, co ma na celu ochronę środowiska gruntowo-wodnego przed zanieczyszczeniami, podczas eksploatacji farmy fotowoltaicznej.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Na podstawie przeprowadzonej analizy zgromadzonej dokumentacji, biorąc pod uwagę charakter zamierzenia, nie przewiduje się wpływu inwestycji na zwiększenie zanieczyszczenia wód powierzchniowych i podziemnych oraz gleby.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Przedmiotowa inwestycja zlokalizowana zostanie w obszarze dorzecza Wisły. Z uwagi na skalę przedsięwzięcia stwierdza się, ze jego realizacja nie wpłynie na ryzyko nieosiągnięcia celów  środowiskowych zawartych w Planie gospodarowania wodami na obszarze dorzecza Wisły, przyjętym Uchwałą Rady Ministrów z dnia 22 lutego 2011 r. (M.P. z dnia 21 czerwca 2011 r., Nr 49, poz. 549), ponieważ inwestycja nie generuje ścieków, z wyjątkiem deszczowych, które z paneli będą spływały powierzchniowo do gruntu.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Planowane przedsięwzięcie będzie zlokalizowane poza obszarami chronionymi w myśl ustawy z dnia 16 kwietnia 2004 roku o ochronie przyrody (Dz. U. z 2013 r., poz. 627 ze zm.), w tym poza wyznaczonymi, mającymi znaczenie dla Wspólnoty i projektowanymi przekazanymi do Komisji Europejskiej obszarami Natura 2000.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Realizacja przedmiotowego zamierzenia nie wymaga usunięcia drzew i krzewów oraz niszczenia miejsc występowania naturalnych siedlisk, w tym obszarów leśnych, podmokłych, bagiennych i torfowiskowych.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Na terenie projektowanego zadania nie występują obszary wodno-bagienne, inne obszary o płytkim zaleganiu wód podziemnych, obszary wybrzeży, górskie lub leśne, objęte ochroną, w tym strefy ujęć wód i obszary ochronne zbiorników wód śródlądowych, obszary wymagające specjalnej ochrony ze względu na występowanie gatunków roślin i zwierząt, czy też ich siedlisk lub siedlisk przyrodniczych objętych ochroną, w tym obszary Natura 2000 oraz pozostałe formy ochrony przyrody, obszary, </w:t>
      </w:r>
      <w:r w:rsidRPr="0077596A">
        <w:rPr>
          <w:rFonts w:ascii="Times New Roman" w:hAnsi="Times New Roman" w:cs="Times New Roman"/>
          <w:sz w:val="26"/>
          <w:szCs w:val="26"/>
        </w:rPr>
        <w:lastRenderedPageBreak/>
        <w:t>na których standardy jakości zostały przekroczone, o krajobrazie mającym znaczenie historyczne, kulturowe lub archeologiczne, o znacznej gęstości zaludnienia, przylegające do jezior, jak również obszary ochrony uzdrowiskowej. Zgodnie z przedłożoną dokumentacją oraz dostępnymi materiałami mapowymi, realizacja inwestycji nie wiąże się z niszczeniem cennych siedlisk przyrodniczych lub gatunków roślin i zwierząt objętych ochroną, jak również naruszeniem ciągłości oraz integralności obszarów Natura 2000.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Inwestor przewiduje rozpoczęcie prac w okresie wczesnowiosennym, przed okresem lęgowym ptaków, przypadającym od 1 marca do 31 sierpnia. Rozpoczęcie prac podczas okresu lęgowego wymagałoby uprzedniego potwierdzenia przez specjalistę ornitologa braku lęgów (gniazd) chronionych gatunków ptaków na terenie inwestycji.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Panele fotowoltaiczne zostaną zamontowane pod kątem 20-35 stopni od powierzchni ziemi, a ich powierzchnie pokryte będą powłokami antyrefleksyjnymi w celu ograniczenia efektu odbłysku. Ponadto, aby umożliwić przemieszczanie się drobnych zwierząt przez teren elektrowni fotowoltaicznej, projektowane ogrodzenie planuje się wykonać bez podmurówki, pozostawiając wolną przestrzeń (ok.30 cm) pomiędzy podłożem a dolną krawędzią ogrodzenia. 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Mając na uwadze powyższe stwierdza się, że realizacja analizowanej inwestycji z uwagi na jej charakter, skalę i lokalizację oraz przyjęty zakres działań minimalizujących nie będzie znacząco negatywnie oddziaływać na środowisko w zakresie ochrony przyrody, a tym samym nie wymaga wykonania raportu o oddziaływaniu przedsięwzięcia na środowisko w odniesieniu do ochrony przyrody o obszarów Natura 2000.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Nie przewiduje się, aby prace związane z budową farmy fotowoltaicznej wiązały się ze znacząco negatywnym oddziaływaniem na pozostałe elementy środowiska oraz wystąpieniem skumulowanego oddziaływania na danym obszarze.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Odnośnie ryzyka wystąpienia poważnej awarii, należy zaznaczyć, że przedsięwzięcie nie należy do kategorii zakładu o zwiększonym, bądź dużym ryzyku pojawienia się awarii przemysłowej, w myśl rozporządzenia Ministra Gospodarki z dnia 10 października 2013 r. w sprawie rodzajów i ilości substancji niebezpiecznych, których znajdowanie się w zakładzie decyduje o jego zaliczeniu do zakładu o dużym ryzyku wystąpienia poważnej awarii przemysłowej (Dz. U. z 2013 r., poz. 1479).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Inwestycja nie będzie związana z emisją gazów cieplarnianych do atmosfery. Nie wymaga zużycia wody oraz innych surowców, a wody opadowe z powierzchni paneli będą spływały bezpośrednio do gruntu. Ponadto, analizowana elektrownia słoneczna zlokalizowana zostanie poza terenami osuwisk oraz zagrożonymi podtopieniami. W związku z powyższym, nie przewiduje się ekstremalnych sytuacji klimatycznych w obrębie analizowanej inwestycji.</w:t>
      </w:r>
    </w:p>
    <w:p w:rsidR="0077596A" w:rsidRPr="0077596A" w:rsidRDefault="0077596A" w:rsidP="0077596A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Uznano, iż zastosowanie prawidłowych rozwiązań projektowych, technicznych i technologicznych, zachowanie podstawowych zasad sztuki budowlanej, właściwa organizacja prac budowlanych oraz wprowadzenie wyżej wskazanych zaleceń zapewni ochronę środowiska na etapie realizacji i eksploatacji inwestycji.</w:t>
      </w:r>
    </w:p>
    <w:p w:rsidR="00C57ED9" w:rsidRPr="0077596A" w:rsidRDefault="0050365E" w:rsidP="00B54672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lastRenderedPageBreak/>
        <w:t>W związku z powyższym, biorąc pod uwagę lokalizację, zakres i planowany sposób realizacji i eksploatacji inwestycji ,w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oddziaływaniu na środowisko.</w:t>
      </w:r>
    </w:p>
    <w:p w:rsidR="00C57ED9" w:rsidRPr="0077596A" w:rsidRDefault="0077596A" w:rsidP="0077596A">
      <w:pPr>
        <w:spacing w:line="240" w:lineRule="auto"/>
        <w:ind w:left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="00C57ED9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Mając powyższe  na uwadze postanowiono jak w sentencji. </w:t>
      </w:r>
    </w:p>
    <w:p w:rsidR="005634A1" w:rsidRPr="0077596A" w:rsidRDefault="005634A1" w:rsidP="005E4B5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A54F3B" w:rsidRPr="0077596A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ab/>
        <w:t>Od niniejszej decyzji służy stronom odwołanie do Samorządowego Kolegium Odwoławczego w Toruniu za pośrednictwem Wójta Gminy Łubianka w terminie 14 dni od dnia doręczenia decyzji.</w:t>
      </w:r>
    </w:p>
    <w:p w:rsidR="00A54F3B" w:rsidRPr="0077596A" w:rsidRDefault="00671756" w:rsidP="005E4B55">
      <w:pPr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Załącznik</w:t>
      </w:r>
      <w:r w:rsidR="006C262D" w:rsidRPr="0077596A">
        <w:rPr>
          <w:rFonts w:ascii="Times New Roman" w:hAnsi="Times New Roman" w:cs="Times New Roman"/>
          <w:sz w:val="26"/>
          <w:szCs w:val="26"/>
        </w:rPr>
        <w:t xml:space="preserve"> nr 1</w:t>
      </w:r>
      <w:r w:rsidR="00A54F3B" w:rsidRPr="0077596A">
        <w:rPr>
          <w:rFonts w:ascii="Times New Roman" w:hAnsi="Times New Roman" w:cs="Times New Roman"/>
          <w:sz w:val="26"/>
          <w:szCs w:val="26"/>
        </w:rPr>
        <w:t>:</w:t>
      </w:r>
    </w:p>
    <w:p w:rsidR="00A54F3B" w:rsidRPr="0077596A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- Charakterystyka planowanego przedsięwzięcia zgodnie z art. 82 ust. 3 ustawy ooś</w:t>
      </w:r>
    </w:p>
    <w:p w:rsidR="00B54672" w:rsidRDefault="00C57ED9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  <w:r w:rsidRPr="00C57ED9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Default="0077596A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77596A" w:rsidRPr="00643DA0" w:rsidRDefault="0077596A" w:rsidP="0077596A">
      <w:pPr>
        <w:spacing w:after="80" w:line="240" w:lineRule="auto"/>
        <w:rPr>
          <w:rFonts w:ascii="Times New Roman" w:eastAsiaTheme="minorHAnsi" w:hAnsi="Times New Roman" w:cs="Times New Roman"/>
          <w:sz w:val="16"/>
          <w:szCs w:val="16"/>
        </w:rPr>
      </w:pPr>
      <w:r w:rsidRPr="00643DA0">
        <w:rPr>
          <w:rFonts w:ascii="Times New Roman" w:eastAsiaTheme="minorHAnsi" w:hAnsi="Times New Roman" w:cs="Times New Roman"/>
          <w:sz w:val="16"/>
          <w:szCs w:val="16"/>
        </w:rPr>
        <w:t>Otrzymują:</w:t>
      </w:r>
    </w:p>
    <w:p w:rsidR="0077596A" w:rsidRPr="00643DA0" w:rsidRDefault="0077596A" w:rsidP="0077596A">
      <w:pPr>
        <w:spacing w:after="80" w:line="240" w:lineRule="auto"/>
        <w:rPr>
          <w:rFonts w:ascii="Times New Roman" w:eastAsiaTheme="minorHAnsi" w:hAnsi="Times New Roman" w:cs="Times New Roman"/>
          <w:sz w:val="16"/>
          <w:szCs w:val="16"/>
        </w:rPr>
      </w:pPr>
      <w:r w:rsidRPr="00643DA0">
        <w:rPr>
          <w:rFonts w:ascii="Times New Roman" w:eastAsiaTheme="minorHAnsi" w:hAnsi="Times New Roman" w:cs="Times New Roman"/>
          <w:sz w:val="16"/>
          <w:szCs w:val="16"/>
        </w:rPr>
        <w:t>1. . R.Power Solar Centrum Sp. z o. o., ul. Domaniewska 39A, 02-672 Warszawa</w:t>
      </w:r>
      <w:r w:rsidRPr="00643DA0">
        <w:rPr>
          <w:rFonts w:ascii="Times New Roman" w:eastAsiaTheme="minorHAnsi" w:hAnsi="Times New Roman" w:cs="Times New Roman"/>
          <w:sz w:val="16"/>
          <w:szCs w:val="16"/>
        </w:rPr>
        <w:br/>
        <w:t>2. Pozostałe strony w/g  załącznika</w:t>
      </w:r>
      <w:r w:rsidRPr="00643DA0">
        <w:rPr>
          <w:rFonts w:ascii="Times New Roman" w:eastAsiaTheme="minorHAnsi" w:hAnsi="Times New Roman" w:cs="Times New Roman"/>
          <w:sz w:val="16"/>
          <w:szCs w:val="16"/>
        </w:rPr>
        <w:br/>
        <w:t>3. a/a BL</w:t>
      </w:r>
    </w:p>
    <w:p w:rsidR="0077596A" w:rsidRPr="00643DA0" w:rsidRDefault="0077596A" w:rsidP="0077596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</w:p>
    <w:p w:rsidR="0077596A" w:rsidRPr="00643DA0" w:rsidRDefault="0077596A" w:rsidP="0077596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>Do wiadomości:</w:t>
      </w:r>
    </w:p>
    <w:p w:rsidR="0077596A" w:rsidRDefault="0077596A" w:rsidP="0077596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Pr="00643DA0">
        <w:rPr>
          <w:rFonts w:ascii="Times New Roman" w:hAnsi="Times New Roman" w:cs="Times New Roman"/>
          <w:sz w:val="16"/>
          <w:szCs w:val="16"/>
        </w:rPr>
        <w:t>Regionalny Dyrektor Ochrony Środowiska, ul. Dworcowa 81, 85-059 Bydgoszcz</w:t>
      </w:r>
    </w:p>
    <w:p w:rsidR="0077596A" w:rsidRDefault="0077596A" w:rsidP="0077596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</w:t>
      </w:r>
      <w:r w:rsidRPr="00643DA0">
        <w:rPr>
          <w:rFonts w:ascii="Times New Roman" w:hAnsi="Times New Roman" w:cs="Times New Roman"/>
          <w:sz w:val="16"/>
          <w:szCs w:val="16"/>
        </w:rPr>
        <w:t xml:space="preserve">Państwowy Powiatowy Inspektor  Sanitarny, ul. Szosa Bydgoska 1, 87-100 Toruń </w:t>
      </w:r>
      <w:r w:rsidRPr="00643DA0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77596A" w:rsidRPr="00643DA0" w:rsidRDefault="0077596A" w:rsidP="0077596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0F4140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 xml:space="preserve">. </w:t>
      </w:r>
      <w:r w:rsidRPr="00643DA0">
        <w:rPr>
          <w:rFonts w:ascii="Times New Roman" w:eastAsiaTheme="minorHAnsi" w:hAnsi="Times New Roman" w:cs="Times New Roman"/>
          <w:sz w:val="16"/>
          <w:szCs w:val="16"/>
        </w:rPr>
        <w:t>Sołtys sołectwa Bierzgłowo</w:t>
      </w:r>
    </w:p>
    <w:p w:rsidR="00B54672" w:rsidRDefault="0077596A" w:rsidP="0077596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4"/>
          <w:szCs w:val="25"/>
        </w:rPr>
      </w:pPr>
      <w:r>
        <w:rPr>
          <w:rFonts w:ascii="Times New Roman" w:eastAsiaTheme="minorHAnsi" w:hAnsi="Times New Roman" w:cs="Times New Roman"/>
          <w:sz w:val="16"/>
          <w:szCs w:val="16"/>
        </w:rPr>
        <w:t>4.</w:t>
      </w:r>
      <w:r w:rsidRPr="00643DA0">
        <w:rPr>
          <w:rFonts w:ascii="Times New Roman" w:eastAsiaTheme="minorHAnsi" w:hAnsi="Times New Roman" w:cs="Times New Roman"/>
          <w:sz w:val="16"/>
          <w:szCs w:val="16"/>
        </w:rPr>
        <w:t>Wywieszono tablica ogłoszeń sołectwa Bierzgłowo, UG w Łubiance oraz stronie internetowej BIP</w:t>
      </w: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C57ED9" w:rsidRPr="00B54672" w:rsidRDefault="00B54672" w:rsidP="0077596A">
      <w:p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ind w:left="720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B54672">
        <w:rPr>
          <w:rFonts w:ascii="Times New Roman" w:hAnsi="Times New Roman" w:cs="Times New Roman"/>
          <w:sz w:val="14"/>
          <w:szCs w:val="14"/>
        </w:rPr>
        <w:t xml:space="preserve"> </w:t>
      </w:r>
    </w:p>
    <w:sectPr w:rsidR="00C57ED9" w:rsidRPr="00B54672" w:rsidSect="00B54672">
      <w:footerReference w:type="default" r:id="rId7"/>
      <w:pgSz w:w="11906" w:h="16838"/>
      <w:pgMar w:top="1304" w:right="1247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C78" w:rsidRDefault="00061C78" w:rsidP="00037ED6">
      <w:pPr>
        <w:spacing w:after="0" w:line="240" w:lineRule="auto"/>
      </w:pPr>
      <w:r>
        <w:separator/>
      </w:r>
    </w:p>
  </w:endnote>
  <w:endnote w:type="continuationSeparator" w:id="0">
    <w:p w:rsidR="00061C78" w:rsidRDefault="00061C78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58D4">
          <w:rPr>
            <w:noProof/>
          </w:rPr>
          <w:t>1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C78" w:rsidRDefault="00061C78" w:rsidP="00037ED6">
      <w:pPr>
        <w:spacing w:after="0" w:line="240" w:lineRule="auto"/>
      </w:pPr>
      <w:r>
        <w:separator/>
      </w:r>
    </w:p>
  </w:footnote>
  <w:footnote w:type="continuationSeparator" w:id="0">
    <w:p w:rsidR="00061C78" w:rsidRDefault="00061C78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61C78"/>
    <w:rsid w:val="000658D4"/>
    <w:rsid w:val="00085326"/>
    <w:rsid w:val="00092833"/>
    <w:rsid w:val="000B64E9"/>
    <w:rsid w:val="00105D97"/>
    <w:rsid w:val="00117CAB"/>
    <w:rsid w:val="001347AE"/>
    <w:rsid w:val="001437B7"/>
    <w:rsid w:val="00170597"/>
    <w:rsid w:val="0020651C"/>
    <w:rsid w:val="00206F93"/>
    <w:rsid w:val="0021798C"/>
    <w:rsid w:val="00217F08"/>
    <w:rsid w:val="0024009F"/>
    <w:rsid w:val="002E4B58"/>
    <w:rsid w:val="003403EF"/>
    <w:rsid w:val="0035228C"/>
    <w:rsid w:val="003710C3"/>
    <w:rsid w:val="00402129"/>
    <w:rsid w:val="00404A82"/>
    <w:rsid w:val="00407AB4"/>
    <w:rsid w:val="0043705D"/>
    <w:rsid w:val="004930C6"/>
    <w:rsid w:val="004A64A1"/>
    <w:rsid w:val="004C70D5"/>
    <w:rsid w:val="0050365E"/>
    <w:rsid w:val="005634A1"/>
    <w:rsid w:val="00565087"/>
    <w:rsid w:val="00585667"/>
    <w:rsid w:val="00591610"/>
    <w:rsid w:val="005C1866"/>
    <w:rsid w:val="005C22AE"/>
    <w:rsid w:val="005D10C9"/>
    <w:rsid w:val="005E4B55"/>
    <w:rsid w:val="006263C5"/>
    <w:rsid w:val="00671756"/>
    <w:rsid w:val="006865CA"/>
    <w:rsid w:val="006913AB"/>
    <w:rsid w:val="006A4844"/>
    <w:rsid w:val="006C262D"/>
    <w:rsid w:val="006D61DA"/>
    <w:rsid w:val="00706283"/>
    <w:rsid w:val="00730038"/>
    <w:rsid w:val="007574EB"/>
    <w:rsid w:val="0077596A"/>
    <w:rsid w:val="00784C3B"/>
    <w:rsid w:val="007D1248"/>
    <w:rsid w:val="007F6DA1"/>
    <w:rsid w:val="00802886"/>
    <w:rsid w:val="00823A34"/>
    <w:rsid w:val="008369A3"/>
    <w:rsid w:val="008457B5"/>
    <w:rsid w:val="00900C62"/>
    <w:rsid w:val="00900DE4"/>
    <w:rsid w:val="00917E49"/>
    <w:rsid w:val="00930E11"/>
    <w:rsid w:val="00935BAF"/>
    <w:rsid w:val="00945F6A"/>
    <w:rsid w:val="00945F70"/>
    <w:rsid w:val="00952880"/>
    <w:rsid w:val="00986DC6"/>
    <w:rsid w:val="009D07DD"/>
    <w:rsid w:val="00A54F3B"/>
    <w:rsid w:val="00A5649C"/>
    <w:rsid w:val="00AB7602"/>
    <w:rsid w:val="00B2399B"/>
    <w:rsid w:val="00B34F07"/>
    <w:rsid w:val="00B35C36"/>
    <w:rsid w:val="00B46D9F"/>
    <w:rsid w:val="00B54672"/>
    <w:rsid w:val="00B7568A"/>
    <w:rsid w:val="00B8466A"/>
    <w:rsid w:val="00BC2E8A"/>
    <w:rsid w:val="00C10229"/>
    <w:rsid w:val="00C20A97"/>
    <w:rsid w:val="00C57EC2"/>
    <w:rsid w:val="00C57ED9"/>
    <w:rsid w:val="00C74790"/>
    <w:rsid w:val="00C87C21"/>
    <w:rsid w:val="00C92BFE"/>
    <w:rsid w:val="00CA0B29"/>
    <w:rsid w:val="00CB517F"/>
    <w:rsid w:val="00CE4409"/>
    <w:rsid w:val="00D01766"/>
    <w:rsid w:val="00D75A63"/>
    <w:rsid w:val="00DC63AF"/>
    <w:rsid w:val="00DE1750"/>
    <w:rsid w:val="00E12DDC"/>
    <w:rsid w:val="00E15C0C"/>
    <w:rsid w:val="00E21E07"/>
    <w:rsid w:val="00E26FF4"/>
    <w:rsid w:val="00E5741A"/>
    <w:rsid w:val="00E73107"/>
    <w:rsid w:val="00E8759A"/>
    <w:rsid w:val="00E92F11"/>
    <w:rsid w:val="00EC5C41"/>
    <w:rsid w:val="00ED3629"/>
    <w:rsid w:val="00EE00F4"/>
    <w:rsid w:val="00EE0B90"/>
    <w:rsid w:val="00F030A8"/>
    <w:rsid w:val="00F30CEB"/>
    <w:rsid w:val="00F47439"/>
    <w:rsid w:val="00F83D1F"/>
    <w:rsid w:val="00F91744"/>
    <w:rsid w:val="00FC7B5D"/>
    <w:rsid w:val="00FE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6AE57FF-C4A6-48B2-B104-C8AE1DB1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2263</Words>
  <Characters>13582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76</cp:revision>
  <cp:lastPrinted>2014-10-23T11:52:00Z</cp:lastPrinted>
  <dcterms:created xsi:type="dcterms:W3CDTF">2013-08-23T05:18:00Z</dcterms:created>
  <dcterms:modified xsi:type="dcterms:W3CDTF">2015-12-21T10:31:00Z</dcterms:modified>
</cp:coreProperties>
</file>