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1152AF" w:rsidRDefault="00404A82" w:rsidP="000A0A05">
      <w:pPr>
        <w:pStyle w:val="Bezodstpw"/>
        <w:ind w:firstLine="4820"/>
        <w:jc w:val="right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 xml:space="preserve">Łubianka, dnia </w:t>
      </w:r>
      <w:r w:rsidR="007B092A">
        <w:rPr>
          <w:rFonts w:ascii="Times New Roman" w:hAnsi="Times New Roman" w:cs="Times New Roman"/>
          <w:sz w:val="25"/>
          <w:szCs w:val="25"/>
        </w:rPr>
        <w:t>20.11</w:t>
      </w:r>
      <w:r w:rsidR="00E505D5" w:rsidRPr="001152AF">
        <w:rPr>
          <w:rFonts w:ascii="Times New Roman" w:hAnsi="Times New Roman" w:cs="Times New Roman"/>
          <w:sz w:val="25"/>
          <w:szCs w:val="25"/>
        </w:rPr>
        <w:t>.2015</w:t>
      </w:r>
      <w:r w:rsidRPr="001152AF">
        <w:rPr>
          <w:rFonts w:ascii="Times New Roman" w:hAnsi="Times New Roman" w:cs="Times New Roman"/>
          <w:sz w:val="25"/>
          <w:szCs w:val="25"/>
        </w:rPr>
        <w:t xml:space="preserve"> r.</w:t>
      </w:r>
    </w:p>
    <w:p w:rsidR="00404A82" w:rsidRPr="001152AF" w:rsidRDefault="00404A82" w:rsidP="000A0A05">
      <w:pPr>
        <w:pStyle w:val="Bezodstpw"/>
        <w:ind w:firstLine="4820"/>
        <w:jc w:val="both"/>
        <w:rPr>
          <w:rFonts w:ascii="Times New Roman" w:hAnsi="Times New Roman" w:cs="Times New Roman"/>
          <w:sz w:val="25"/>
          <w:szCs w:val="25"/>
        </w:rPr>
      </w:pPr>
    </w:p>
    <w:p w:rsidR="00841A50" w:rsidRPr="001152AF" w:rsidRDefault="00841A50" w:rsidP="000A0A05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904DE7" w:rsidRPr="001152AF" w:rsidRDefault="007911C6" w:rsidP="000A0A05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ROŚ.6220.3.2.2015</w:t>
      </w:r>
    </w:p>
    <w:p w:rsidR="00404A82" w:rsidRPr="001152AF" w:rsidRDefault="00404A82" w:rsidP="000A0A05">
      <w:pPr>
        <w:spacing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1152AF">
        <w:rPr>
          <w:rFonts w:ascii="Times New Roman" w:hAnsi="Times New Roman" w:cs="Times New Roman"/>
          <w:b/>
          <w:sz w:val="25"/>
          <w:szCs w:val="25"/>
        </w:rPr>
        <w:t>POSTANOWIENIE</w:t>
      </w:r>
    </w:p>
    <w:p w:rsidR="00904DE7" w:rsidRPr="001152AF" w:rsidRDefault="00404A82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          </w:t>
      </w:r>
      <w:r w:rsidRPr="001152AF">
        <w:rPr>
          <w:rFonts w:ascii="Times New Roman" w:hAnsi="Times New Roman" w:cs="Times New Roman"/>
          <w:sz w:val="25"/>
          <w:szCs w:val="25"/>
        </w:rPr>
        <w:t>Na podstawie art. 123 ustawy z dnia 14 czerwca 1960 r. Kodeks postę</w:t>
      </w:r>
      <w:r w:rsidR="001E3172" w:rsidRPr="001152AF">
        <w:rPr>
          <w:rFonts w:ascii="Times New Roman" w:hAnsi="Times New Roman" w:cs="Times New Roman"/>
          <w:sz w:val="25"/>
          <w:szCs w:val="25"/>
        </w:rPr>
        <w:t>powania administracyjnego (</w:t>
      </w:r>
      <w:r w:rsidRPr="001152AF">
        <w:rPr>
          <w:rFonts w:ascii="Times New Roman" w:hAnsi="Times New Roman" w:cs="Times New Roman"/>
          <w:sz w:val="25"/>
          <w:szCs w:val="25"/>
        </w:rPr>
        <w:t>Dz. U. z 2013r. poz. 267</w:t>
      </w:r>
      <w:r w:rsidR="001E3172" w:rsidRPr="001152AF">
        <w:rPr>
          <w:rFonts w:ascii="Times New Roman" w:hAnsi="Times New Roman" w:cs="Times New Roman"/>
          <w:sz w:val="25"/>
          <w:szCs w:val="25"/>
        </w:rPr>
        <w:t xml:space="preserve"> j.t.</w:t>
      </w:r>
      <w:r w:rsidRPr="001152AF">
        <w:rPr>
          <w:rFonts w:ascii="Times New Roman" w:hAnsi="Times New Roman" w:cs="Times New Roman"/>
          <w:sz w:val="25"/>
          <w:szCs w:val="25"/>
        </w:rPr>
        <w:t>) w związku z art. 63 ust 2  ustawy z dnia 3 października 2008r. o udostępnianiu informacji o środowisku i jego ochronie, udziale społeczeństwa w ochronie środowiska oraz o ocenach oddziaływa</w:t>
      </w:r>
      <w:r w:rsidR="00DB19E1" w:rsidRPr="001152AF">
        <w:rPr>
          <w:rFonts w:ascii="Times New Roman" w:hAnsi="Times New Roman" w:cs="Times New Roman"/>
          <w:sz w:val="25"/>
          <w:szCs w:val="25"/>
        </w:rPr>
        <w:t xml:space="preserve">nia na środowisko (Dz. U. z 2013r. </w:t>
      </w:r>
      <w:r w:rsidRPr="001152AF">
        <w:rPr>
          <w:rFonts w:ascii="Times New Roman" w:hAnsi="Times New Roman" w:cs="Times New Roman"/>
          <w:sz w:val="25"/>
          <w:szCs w:val="25"/>
        </w:rPr>
        <w:t xml:space="preserve">poz. </w:t>
      </w:r>
      <w:r w:rsidR="00DB19E1" w:rsidRPr="001152AF">
        <w:rPr>
          <w:rFonts w:ascii="Times New Roman" w:hAnsi="Times New Roman" w:cs="Times New Roman"/>
          <w:sz w:val="25"/>
          <w:szCs w:val="25"/>
        </w:rPr>
        <w:t>1235</w:t>
      </w:r>
      <w:r w:rsidR="00591610" w:rsidRPr="001152AF">
        <w:rPr>
          <w:rFonts w:ascii="Times New Roman" w:hAnsi="Times New Roman" w:cs="Times New Roman"/>
          <w:sz w:val="25"/>
          <w:szCs w:val="25"/>
        </w:rPr>
        <w:t xml:space="preserve"> ze</w:t>
      </w:r>
      <w:r w:rsidR="00F43CA4" w:rsidRPr="001152AF">
        <w:rPr>
          <w:rFonts w:ascii="Times New Roman" w:hAnsi="Times New Roman" w:cs="Times New Roman"/>
          <w:sz w:val="25"/>
          <w:szCs w:val="25"/>
        </w:rPr>
        <w:t xml:space="preserve"> zm.), a także </w:t>
      </w:r>
      <w:r w:rsidR="0078137E" w:rsidRPr="0078137E">
        <w:rPr>
          <w:rFonts w:ascii="Times New Roman" w:hAnsi="Times New Roman" w:cs="Times New Roman"/>
          <w:sz w:val="25"/>
          <w:szCs w:val="25"/>
        </w:rPr>
        <w:t xml:space="preserve">w </w:t>
      </w:r>
      <w:r w:rsidR="007B092A">
        <w:rPr>
          <w:rFonts w:ascii="Times New Roman" w:hAnsi="Times New Roman" w:cs="Times New Roman"/>
          <w:sz w:val="25"/>
          <w:szCs w:val="25"/>
        </w:rPr>
        <w:t>§ 3 ust. 1 pkt 52 lit. b</w:t>
      </w:r>
      <w:r w:rsidR="007911C6" w:rsidRPr="007911C6">
        <w:rPr>
          <w:rFonts w:ascii="Times New Roman" w:hAnsi="Times New Roman" w:cs="Times New Roman"/>
          <w:sz w:val="25"/>
          <w:szCs w:val="25"/>
        </w:rPr>
        <w:t xml:space="preserve">) </w:t>
      </w:r>
      <w:r w:rsidRPr="001152AF">
        <w:rPr>
          <w:rFonts w:ascii="Times New Roman" w:hAnsi="Times New Roman" w:cs="Times New Roman"/>
          <w:sz w:val="25"/>
          <w:szCs w:val="25"/>
        </w:rPr>
        <w:t>rozporządzenia Rady Ministrów z dnia 9 listopada 2010r. w sprawie przedsięwzięć mogących znacząco oddziaływać na środowisko (Dz. U. z 2010r. Nr 213 poz. 1397</w:t>
      </w:r>
      <w:r w:rsidR="00BF0512" w:rsidRPr="001152AF">
        <w:rPr>
          <w:rFonts w:ascii="Times New Roman" w:hAnsi="Times New Roman" w:cs="Times New Roman"/>
          <w:sz w:val="25"/>
          <w:szCs w:val="25"/>
        </w:rPr>
        <w:t xml:space="preserve"> ze zm.</w:t>
      </w:r>
      <w:r w:rsidRPr="001152AF">
        <w:rPr>
          <w:rFonts w:ascii="Times New Roman" w:hAnsi="Times New Roman" w:cs="Times New Roman"/>
          <w:sz w:val="25"/>
          <w:szCs w:val="25"/>
        </w:rPr>
        <w:t xml:space="preserve">), </w:t>
      </w:r>
      <w:r w:rsidR="00904DE7" w:rsidRPr="001152AF">
        <w:rPr>
          <w:rFonts w:ascii="Times New Roman" w:hAnsi="Times New Roman" w:cs="Times New Roman"/>
          <w:sz w:val="25"/>
          <w:szCs w:val="25"/>
        </w:rPr>
        <w:t>po rozpatrzeniu wniosku</w:t>
      </w:r>
      <w:r w:rsidR="00904DE7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z dnia 10.06.2015 r. po uzupełnieniu w dniu 16.06.2015 r. </w:t>
      </w:r>
      <w:proofErr w:type="spellStart"/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R.Power</w:t>
      </w:r>
      <w:proofErr w:type="spellEnd"/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Solar Centrum Sp. z o. o., ul. Domaniewska 39A, 02-672 Warszawa</w:t>
      </w:r>
      <w:r w:rsid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</w:p>
    <w:p w:rsidR="00A615A3" w:rsidRDefault="00A615A3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404A82" w:rsidRPr="001152AF" w:rsidRDefault="00404A82" w:rsidP="002A12A7">
      <w:pPr>
        <w:pStyle w:val="Bezodstpw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stwierdzam brak potrzeby</w:t>
      </w:r>
    </w:p>
    <w:p w:rsidR="00404A82" w:rsidRPr="001152AF" w:rsidRDefault="00404A82" w:rsidP="002A12A7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przeprowadzenia oceny oddziaływania na środowisko</w:t>
      </w:r>
    </w:p>
    <w:p w:rsidR="00206C6D" w:rsidRPr="001152AF" w:rsidRDefault="0060736A" w:rsidP="0060736A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ab/>
      </w:r>
    </w:p>
    <w:p w:rsidR="00BB1D77" w:rsidRPr="001152AF" w:rsidRDefault="00BB1D77" w:rsidP="000A0A05">
      <w:pPr>
        <w:pStyle w:val="Bezodstpw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dla przedsięwzięcia pn. : 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„</w:t>
      </w:r>
      <w:r w:rsidR="007911C6" w:rsidRPr="00F00D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Budowie Elektrowni Słonecznej wraz z infrastrukturą towarzyszącą na działce nr ew. 42/5  (obręb 0001) w miejscowości Bierzgłowo, Gmina Łubianka</w:t>
      </w:r>
      <w:r w:rsidR="007911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904DE7" w:rsidRPr="001152AF" w:rsidRDefault="00904DE7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AD635C" w:rsidRPr="001152AF" w:rsidRDefault="00404A82" w:rsidP="000A0A05">
      <w:pPr>
        <w:pStyle w:val="Bezodstpw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  UZASADNIENIE</w:t>
      </w:r>
    </w:p>
    <w:p w:rsidR="00206C6D" w:rsidRPr="001152AF" w:rsidRDefault="00206C6D" w:rsidP="000A0A05">
      <w:pPr>
        <w:pStyle w:val="Bezodstpw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9B5B7C" w:rsidRPr="001152AF" w:rsidRDefault="00AB7602" w:rsidP="000F4140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Dnia </w:t>
      </w:r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10.06.2015 r. </w:t>
      </w:r>
      <w:r w:rsidR="007B092A">
        <w:rPr>
          <w:rFonts w:ascii="Times New Roman" w:eastAsia="Times New Roman" w:hAnsi="Times New Roman" w:cs="Times New Roman"/>
          <w:sz w:val="25"/>
          <w:szCs w:val="25"/>
          <w:lang w:eastAsia="pl-PL"/>
        </w:rPr>
        <w:t>(</w:t>
      </w:r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po uzupełnieniu w dniu 16.06.2015 r.</w:t>
      </w:r>
      <w:r w:rsidR="007B092A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proofErr w:type="spellStart"/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R.Power</w:t>
      </w:r>
      <w:proofErr w:type="spellEnd"/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Solar Centrum Sp. z o. o., ul. Domaniewska 39A, 02-672 Warszawa</w:t>
      </w:r>
      <w:r w:rsid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</w:t>
      </w:r>
      <w:r w:rsidR="00226CD4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zwrócił</w:t>
      </w:r>
      <w:r w:rsid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a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się z wnioskiem o wydanie decyzji o środowiskowych uwarunkowań zgody na realizację przedsięwzięcia pn.: </w:t>
      </w:r>
      <w:r w:rsidR="007911C6" w:rsidRP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„Budowie Elektrowni Słonecznej wraz z infrastrukturą towarzyszącą na działce nr ew. 42/5  (obręb 0001) w miejscowości Bierzgłowo, Gmina Łubianka”</w:t>
      </w:r>
      <w:r w:rsid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</w:p>
    <w:p w:rsidR="00404A82" w:rsidRPr="00120E6D" w:rsidRDefault="00DE1750" w:rsidP="000F4140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środowiska</w:t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oraz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o ocenach oddziaływania na środowisko, Wójt Gminy Łubianka pismem znak 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ROŚ.</w:t>
      </w:r>
      <w:r w:rsid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6220.3.1.2015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30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="002C0FDB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0</w:t>
      </w:r>
      <w:r w:rsidR="00A615A3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6</w:t>
      </w:r>
      <w:r w:rsidR="007911C6">
        <w:rPr>
          <w:rFonts w:ascii="Times New Roman" w:eastAsia="Times New Roman" w:hAnsi="Times New Roman" w:cs="Times New Roman"/>
          <w:sz w:val="25"/>
          <w:szCs w:val="25"/>
          <w:lang w:eastAsia="pl-PL"/>
        </w:rPr>
        <w:t>.2015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wystąpił do Regionalnego Dyrektora Ochrony Środowiska w Bydgoszczy i Państwowego Powiatowego Inspektora Sanitarnego</w:t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br/>
      </w:r>
      <w:r w:rsidR="00AB7602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9B5B7C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Państwowy Powiatowy Inspektor Sanitarny w Toruniu </w:t>
      </w:r>
      <w:r w:rsidR="00735984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o</w:t>
      </w:r>
      <w:r w:rsidR="0018453B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pinią </w:t>
      </w:r>
      <w:r w:rsidR="00F210C1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(znak 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N.NZ.40.2.4.3.2015</w:t>
      </w:r>
      <w:r w:rsidR="00466705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21.07</w:t>
      </w:r>
      <w:r w:rsidR="00A615A3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.2015</w:t>
      </w:r>
      <w:r w:rsidR="00F210C1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r. uznał, że dla powyższego przedsięwzięcia nie ma konieczności przeprowadzenia oceny oddziaływania na środowisko. </w:t>
      </w:r>
    </w:p>
    <w:p w:rsidR="00137C95" w:rsidRPr="00120E6D" w:rsidRDefault="00137C95" w:rsidP="000F4140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Regionalny Dyrektor Ochrony Środowiska w Bydgoszczy wezwał inwestora do uzupełnienia karty informacyjnej przedsięwzięcia</w:t>
      </w:r>
      <w:r w:rsidR="00BB4294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pismem</w:t>
      </w:r>
      <w:r w:rsidR="0066033B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:</w:t>
      </w:r>
      <w:r w:rsidR="00DC1FD6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znak WOO.4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240.405.2015</w:t>
      </w:r>
      <w:r w:rsidR="008C315D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.PP z dnia 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27</w:t>
      </w:r>
      <w:r w:rsidR="008C315D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.07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.2015</w:t>
      </w:r>
      <w:r w:rsidR="0018453B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r.)</w:t>
      </w:r>
      <w:r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. Inwestor uzupełnił kartę informacyjną</w:t>
      </w:r>
      <w:r w:rsidR="008C256D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zgodnie z otrzymanym wezwaniem</w:t>
      </w:r>
      <w:r w:rsidR="00DC1FD6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(pismem</w:t>
      </w:r>
      <w:r w:rsidR="00BB4294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03.08</w:t>
      </w:r>
      <w:r w:rsidR="00DC1FD6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.2014 r.</w:t>
      </w:r>
      <w:r w:rsidR="00520EF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wpływ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do tut. Urzędu 07.08.2015</w:t>
      </w:r>
      <w:r w:rsidR="00671C5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</w:t>
      </w:r>
      <w:r w:rsidR="00BB4294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).</w:t>
      </w:r>
    </w:p>
    <w:p w:rsidR="00404A82" w:rsidRPr="00120E6D" w:rsidRDefault="00AB7602" w:rsidP="000F4140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404A82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Regionalny Dyrektor Ochrony Środowiska w Bydgoszczy </w:t>
      </w:r>
      <w:r w:rsidR="00591610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postanowieniem znak 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WOO.4240.405.2015.PP.2</w:t>
      </w:r>
      <w:r w:rsidR="00120E6D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20</w:t>
      </w:r>
      <w:r w:rsidR="007B092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.08</w:t>
      </w:r>
      <w:r w:rsidR="008C315D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>.2015</w:t>
      </w:r>
      <w:r w:rsidR="00520EFA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r. wyraził opinię, że dla </w:t>
      </w:r>
      <w:r w:rsidR="003710C3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ww. </w:t>
      </w:r>
      <w:r w:rsidR="00404A82" w:rsidRPr="00120E6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przedsięwzięcia nie istnieje  konieczność przeprowadzenia oceny oddziaływania na środowisko. </w:t>
      </w:r>
    </w:p>
    <w:p w:rsidR="000F4140" w:rsidRPr="00CD0A35" w:rsidRDefault="000F4140" w:rsidP="000F4140">
      <w:pPr>
        <w:pStyle w:val="Bezodstpw"/>
        <w:jc w:val="both"/>
        <w:rPr>
          <w:rFonts w:ascii="Times New Roman" w:eastAsia="Times New Roman" w:hAnsi="Times New Roman" w:cs="Times New Roman"/>
          <w:color w:val="FF0000"/>
          <w:sz w:val="25"/>
          <w:szCs w:val="25"/>
          <w:lang w:eastAsia="pl-PL"/>
        </w:rPr>
      </w:pPr>
    </w:p>
    <w:p w:rsid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lastRenderedPageBreak/>
        <w:t xml:space="preserve">Po zapoznaniu się z załączoną  do wniosku kartą informacyjną (uzupełnioną dnia 07.08.2015 r.) stwierdzono, że jest to przedsięwzięcie mogące potencjalnie znacząco oddziaływać na środowisko, wymienione w § 3 ust. 1 pkt 52 lit. B) ww. rozporządzenia Rady Ministrów z dnia 9 listopada 2010 r.: „zabudowa przemysłowa, w tym zabudowa systemami fotowoltaicznymi, lub magazynowa, wraz z towarzyszącą jej infrastrukturą, o powierzchni zabudowy nie mniejszej niż: </w:t>
      </w:r>
      <w:smartTag w:uri="urn:schemas-microsoft-com:office:smarttags" w:element="metricconverter">
        <w:smartTagPr>
          <w:attr w:name="ProductID" w:val="1 ha"/>
        </w:smartTagPr>
        <w:r w:rsidRPr="000F4140">
          <w:rPr>
            <w:rFonts w:ascii="Times New Roman" w:hAnsi="Times New Roman" w:cs="Times New Roman"/>
            <w:sz w:val="28"/>
            <w:szCs w:val="28"/>
          </w:rPr>
          <w:t>1 ha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 na obszarach innych niż wymienione w lit. a) – przy czym przez powierzchnię zabudowy rozumie się powierzchnię terenu zajętą prze obiekty budowlane oraz pozostałą powierzchnię przeznaczoną do przekształcenia w wyniku realizacji przedsięwzięcia”.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W odniesieniu do uwarunkowań wymienionych w art. 63 ust. 1 ww. ustawy z dnia 3 października 2008 r. o udostępnianiu informacji o środowisku i jego ochronie, udziale społeczeństwa w ochronie środowiska oraz o ocenach oddziaływania na środowisko, tutejszy Organ przeanalizował rodzaj i charakter planowanej inwestycji, usytuowanie przedsięwzięcia, zważywszy na możliwe zagrożenia dla środowiska, jak również rodzaj i skalę możliwego oddziaływania.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Działka przeznaczona pod planowaną inwestycję nie jest objęta aktualnym miejscowym planem zagospodarowania przestrzennego.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Przedsięwzięcie będzie polegało na budowie instalacji wraz z infrastrukturą towarzyszącą, na działce nr 42/5 (obręb 0001) w miejscowości Bierzgłowo, gm. Łubianka.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Powierzchnia działki inwestycyjnej wynosi </w:t>
      </w:r>
      <w:smartTag w:uri="urn:schemas-microsoft-com:office:smarttags" w:element="metricconverter">
        <w:smartTagPr>
          <w:attr w:name="ProductID" w:val="3,8372 ha"/>
        </w:smartTagPr>
        <w:r w:rsidRPr="000F4140">
          <w:rPr>
            <w:rFonts w:ascii="Times New Roman" w:hAnsi="Times New Roman" w:cs="Times New Roman"/>
            <w:sz w:val="28"/>
            <w:szCs w:val="28"/>
          </w:rPr>
          <w:t>3,8372 ha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, a obszar objęty zabudową przemysłową wyniesie ok. </w:t>
      </w:r>
      <w:smartTag w:uri="urn:schemas-microsoft-com:office:smarttags" w:element="metricconverter">
        <w:smartTagPr>
          <w:attr w:name="ProductID" w:val="2,5 ha"/>
        </w:smartTagPr>
        <w:r w:rsidRPr="000F4140">
          <w:rPr>
            <w:rFonts w:ascii="Times New Roman" w:hAnsi="Times New Roman" w:cs="Times New Roman"/>
            <w:sz w:val="28"/>
            <w:szCs w:val="28"/>
          </w:rPr>
          <w:t>2,5 ha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. Z kolei teren faktycznie zajęty pod zabudowę przez zespół paneli fotowoltaicznych wraz z infrastrukturą towarzyszącą oraz pozostałą powierzchnią przeznaczoną do przekształcenia (nie wliczając przerw miedzy rzędami paneli), obejmie powierzchnię ok. </w:t>
      </w:r>
      <w:smartTag w:uri="urn:schemas-microsoft-com:office:smarttags" w:element="metricconverter">
        <w:smartTagPr>
          <w:attr w:name="ProductID" w:val="1,0 ha"/>
        </w:smartTagPr>
        <w:r w:rsidRPr="000F4140">
          <w:rPr>
            <w:rFonts w:ascii="Times New Roman" w:hAnsi="Times New Roman" w:cs="Times New Roman"/>
            <w:sz w:val="28"/>
            <w:szCs w:val="28"/>
          </w:rPr>
          <w:t>1,0 ha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Najbliższa zabudowa mieszkaniowa podlegająca ochronie akustycznej znajduje się w odległości ok. </w:t>
      </w:r>
      <w:smartTag w:uri="urn:schemas-microsoft-com:office:smarttags" w:element="metricconverter">
        <w:smartTagPr>
          <w:attr w:name="ProductID" w:val="130 m"/>
        </w:smartTagPr>
        <w:r w:rsidRPr="000F4140">
          <w:rPr>
            <w:rFonts w:ascii="Times New Roman" w:hAnsi="Times New Roman" w:cs="Times New Roman"/>
            <w:sz w:val="28"/>
            <w:szCs w:val="28"/>
          </w:rPr>
          <w:t>130 m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 od planowanej farmy fotowoltaicznej, w kierunku południowym.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Instalacja służyć będzie do wytwarzania energii elektrycznej z energii słonecznej. Ogniwo fotowoltaiczne, jest to urządzenie, które przekształca promienie słoneczne bezpośrednio w elektryczność. Zjawisko to nosi nazwę efektu fotowoltaicznego. Z połączenia od kilku do kilkudziesięciu ogniw uzyskuje się moduł (panel). Planowana farma fotowoltaiczna składać się będzie z zespołu paneli w ilości 4 000 sztuk. Panele zostaną umieszczone w rzędach, między którymi pozostawiony będzie odstęp od 3 do </w:t>
      </w:r>
      <w:smartTag w:uri="urn:schemas-microsoft-com:office:smarttags" w:element="metricconverter">
        <w:smartTagPr>
          <w:attr w:name="ProductID" w:val="10 m"/>
        </w:smartTagPr>
        <w:r w:rsidRPr="000F4140">
          <w:rPr>
            <w:rFonts w:ascii="Times New Roman" w:hAnsi="Times New Roman" w:cs="Times New Roman"/>
            <w:sz w:val="28"/>
            <w:szCs w:val="28"/>
          </w:rPr>
          <w:t>10 m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. Przestrzeń pomiędzy rzędami paneli nie będzie przekształcana i pozostanie biologicznie czynna. W ramach jednego rzędu, panele zostaną połączone za pomocą stalowych konstrukcji i posadowione na podporach – słupkach wkręconych (lub wbitych) w grunt na głębokość około 1,5 - </w:t>
      </w:r>
      <w:smartTag w:uri="urn:schemas-microsoft-com:office:smarttags" w:element="metricconverter">
        <w:smartTagPr>
          <w:attr w:name="ProductID" w:val="2,5 m"/>
        </w:smartTagPr>
        <w:r w:rsidRPr="000F4140">
          <w:rPr>
            <w:rFonts w:ascii="Times New Roman" w:hAnsi="Times New Roman" w:cs="Times New Roman"/>
            <w:sz w:val="28"/>
            <w:szCs w:val="28"/>
          </w:rPr>
          <w:t>2,5 m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. Średnia wysokość na której usytuowany </w:t>
      </w:r>
      <w:r w:rsidRPr="000F4140">
        <w:rPr>
          <w:rFonts w:ascii="Times New Roman" w:hAnsi="Times New Roman" w:cs="Times New Roman"/>
          <w:sz w:val="28"/>
          <w:szCs w:val="28"/>
        </w:rPr>
        <w:lastRenderedPageBreak/>
        <w:t xml:space="preserve">będzie panel fotowoltaiczny wynosi ok. </w:t>
      </w:r>
      <w:smartTag w:uri="urn:schemas-microsoft-com:office:smarttags" w:element="metricconverter">
        <w:smartTagPr>
          <w:attr w:name="ProductID" w:val="0,5 m"/>
        </w:smartTagPr>
        <w:r w:rsidRPr="000F4140">
          <w:rPr>
            <w:rFonts w:ascii="Times New Roman" w:hAnsi="Times New Roman" w:cs="Times New Roman"/>
            <w:sz w:val="28"/>
            <w:szCs w:val="28"/>
          </w:rPr>
          <w:t>0,5 m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. Wysokość panelu w rzucie bocznym wraz ze słupkiem nie przekroczy </w:t>
      </w:r>
      <w:smartTag w:uri="urn:schemas-microsoft-com:office:smarttags" w:element="metricconverter">
        <w:smartTagPr>
          <w:attr w:name="ProductID" w:val="5 m"/>
        </w:smartTagPr>
        <w:r w:rsidRPr="000F4140">
          <w:rPr>
            <w:rFonts w:ascii="Times New Roman" w:hAnsi="Times New Roman" w:cs="Times New Roman"/>
            <w:sz w:val="28"/>
            <w:szCs w:val="28"/>
          </w:rPr>
          <w:t>5 m</w:t>
        </w:r>
      </w:smartTag>
      <w:r w:rsidRPr="000F4140">
        <w:rPr>
          <w:rFonts w:ascii="Times New Roman" w:hAnsi="Times New Roman" w:cs="Times New Roman"/>
          <w:sz w:val="28"/>
          <w:szCs w:val="28"/>
        </w:rPr>
        <w:t>. Panele będą skierowane w stronę południową i nachylone do ziemi pod kątem ok. 20 do 35 stopni.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Kolejnym elementem systemu fotowoltaicznego są przetwornice (inwertory). Ich zadaniem jest przekształcenie prądu stałego w prąd przemienny, który może trafić do sieci elektroenergetycznej. Z inwerterów trasami kablowymi energia elektryczna przesyłana będzie do transformatora, którego zadaniem będzie podniesienie napięcia do wartości 15 </w:t>
      </w:r>
      <w:proofErr w:type="spellStart"/>
      <w:r w:rsidRPr="000F4140">
        <w:rPr>
          <w:rFonts w:ascii="Times New Roman" w:hAnsi="Times New Roman" w:cs="Times New Roman"/>
          <w:sz w:val="28"/>
          <w:szCs w:val="28"/>
        </w:rPr>
        <w:t>kV</w:t>
      </w:r>
      <w:proofErr w:type="spellEnd"/>
      <w:r w:rsidRPr="000F4140">
        <w:rPr>
          <w:rFonts w:ascii="Times New Roman" w:hAnsi="Times New Roman" w:cs="Times New Roman"/>
          <w:sz w:val="28"/>
          <w:szCs w:val="28"/>
        </w:rPr>
        <w:t>, aby możliwa była współpraca z siecią dystrybucyjną.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Planowane jest przyłączenie elektrowni słonecznej do istniejącej linii napowietrznej średniego napięcia.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Zarówno oddziaływanie pola magnetycznego jak i pola elektrycznego jest znikome. Silne pole magnetyczne stanowiące istotę działania transformatora zawiera się w jego rdzeniu i jedynie w postaci szczątkowej wydostaje się na zewnątrz. Natomiast pole elektryczne jest całkowicie ekranowane przez metalową uziemiona obudowę transformatora. Zabezpieczenie środowiska gruntowo-wodnego zapewnione będzie poprzez instalację indywidualnej misy olejowej dla pojedynczego transformatora. Misa olejowa, wykonana będzie z materiałów olejoodpornych i wodoodpornych, a ich pojemność wynosić będzie minimum 110% zawartości oleju. Transformator umieszczony będzie w kontenerze. Kontener jako abonencka stacja elektroenergetyczna składa się z komory obsługi, komory transformatora 0,4/15 </w:t>
      </w:r>
      <w:proofErr w:type="spellStart"/>
      <w:r w:rsidRPr="000F4140">
        <w:rPr>
          <w:rFonts w:ascii="Times New Roman" w:hAnsi="Times New Roman" w:cs="Times New Roman"/>
          <w:sz w:val="28"/>
          <w:szCs w:val="28"/>
        </w:rPr>
        <w:t>kV</w:t>
      </w:r>
      <w:proofErr w:type="spellEnd"/>
      <w:r w:rsidRPr="000F4140">
        <w:rPr>
          <w:rFonts w:ascii="Times New Roman" w:hAnsi="Times New Roman" w:cs="Times New Roman"/>
          <w:sz w:val="28"/>
          <w:szCs w:val="28"/>
        </w:rPr>
        <w:t>, rozdzielnicy niskiego napięcia oraz rozdzielnicy średniego napięcia. Odległość stacji transformatorowej od najbliższej zabudowy mieszkaniowej wyniesie ok.135 m.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Obszar planowanego przedsięwzięcia zostanie ogrodzony. Panele fotowoltaiczne posadowione zostaną w odległości nie mniejszej niż </w:t>
      </w:r>
      <w:smartTag w:uri="urn:schemas-microsoft-com:office:smarttags" w:element="metricconverter">
        <w:smartTagPr>
          <w:attr w:name="ProductID" w:val="4 m"/>
        </w:smartTagPr>
        <w:r w:rsidRPr="000F4140">
          <w:rPr>
            <w:rFonts w:ascii="Times New Roman" w:hAnsi="Times New Roman" w:cs="Times New Roman"/>
            <w:sz w:val="28"/>
            <w:szCs w:val="28"/>
          </w:rPr>
          <w:t>4 m</w:t>
        </w:r>
      </w:smartTag>
      <w:r w:rsidRPr="000F4140">
        <w:rPr>
          <w:rFonts w:ascii="Times New Roman" w:hAnsi="Times New Roman" w:cs="Times New Roman"/>
          <w:sz w:val="28"/>
          <w:szCs w:val="28"/>
        </w:rPr>
        <w:t xml:space="preserve"> od ogrodzenia działek inwestycyjnych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W trakcie prowadzenia prac realizacyjnych może nastąpić wzrost emisji zanieczyszczeń do powietrza atmosferycznego oraz poziomu dźwięku, związanego z pracą sprzętu budowlanego i transportem materiałów. Powyższe oddziaływania będą miały charakter przejściowy oraz odwracalny. W celu zminimalizowania uciążliwości związanych z etapem realizacji przedsięwzięcia prace ziemne będą prowadzone wyłącznie w godzinach dziennych (6ºº - 22ºº), w sposób niedopuszczający do przypadkowego wycieku substancji ropopochodnych. Używany sprzęt będzie sprawny technicznie, a wszelkie jego konserwacje, uzupełnianie paliwa, przeglądy i naprawy, wykonywane w miejscu specjalnie do tego celu przeznaczonym. Zaplecze budowlane zlokalizowane będzie w oddaleniu od zabudowy podlegającej ochronie akustycznej.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140">
        <w:rPr>
          <w:rFonts w:ascii="Times New Roman" w:hAnsi="Times New Roman" w:cs="Times New Roman"/>
          <w:sz w:val="28"/>
          <w:szCs w:val="28"/>
        </w:rPr>
        <w:t xml:space="preserve">Gęstość zaludnienia w gminie Łubianka wg. GUS z 2013 r. wynosi 77 os.  na km2.  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lastRenderedPageBreak/>
        <w:t>Wytworzone podczas realizacji zadania odpady będą selektywnie gromadzone, a następnie przekazywane uprawnionym odbiorcom (posiadającym stosowne decyzje) do odzysku lub unieszkodliwiania.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Ścieki socjalno-bytowe powstające na etapie realizacji zadania, gromadzone będą w przenośnych toaletach systematycznie opróżnianych przez podmioty posiadające stosowne zdzwonienie w tym zakresie.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Eksploatacja projektowanej instalacji fotowoltaicznej nie będzie powodowała hałasu oraz emisji zanieczyszczeń do powietrza atmosferycznego.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Planowana inwestycja nie będzie wymagała na etapie eksploatacji stałej obsługi, zaplecza socjalnego, ani infrastruktury wodno-kanalizacyjnej.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Ewentualne mycie modułów odbywało się będzie 1-2 razy w roku, przy użyciu zdemineralizowanej wody, nie zawierającej środków chemicznych i za pomocą technologii polegającej na użyciu specjalnych szczotek.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Aby zapobiec ewentualnemu przedostaniu się oleju lub cieczy izolacyjnej do środowiska w wyniku awarii, pod transformatorami, jak powyżej wspomniano, znajdować się będą szczelne misy olejowe, będące w stanie zmagazynować 110% oleju, co ma na celu ochronę środowiska gruntowo-wodnego przed zanieczyszczeniami, podczas eksploatacji farmy fotowoltaicznej.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Na podstawie przeprowadzonej analizy zgromadzonej dokumentacji, biorąc pod uwagę charakter zamierzenia, nie przewiduje się wpływu inwestycji na zwiększenie zanieczyszczenia wód powierzchniowych i podziemnych oraz gleby.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Przedmiotowa inwestycja zlokalizowana zostanie w obszarze dorzecza Wisły. Z uwagi na skalę przedsięwzięcia stwierdza się, ze jego realizacja nie wpłynie na ryzyko nieosiągnięcia celów  środowiskowych zawartych w Planie gospodarowania wodami na obszarze dorzecza Wisły, przyjętym Uchwałą Rady Ministrów z dnia 22 lutego 2011 r. (M.P. z dnia 21 czerwca 2011 r., Nr 49, poz. 549), ponieważ inwestycja nie generuje ścieków, z wyjątkiem deszczowych, które z paneli będą spływały powierzchniowo do gruntu.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Planowane przedsięwzięcie będzie zlokalizowane poza obszarami chronionymi w myśl ustawy z dnia 16 kwietnia 2004 roku o ochronie przyrody (Dz. U. z 2013 r., poz. 627 ze zm.), w tym poza wyznaczonymi, mającymi znaczenie dla Wspólnoty i projektowanymi przekazanymi do Komisji Europejskiej obszarami Natura 2000.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Realizacja przedmiotowego zamierzenia nie wymaga usunięcia drzew i krzewów oraz niszczenia miejsc występowania naturalnych siedlisk, w tym obszarów leśnych, podmokłych, bagiennych i torfowiskowych.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lastRenderedPageBreak/>
        <w:t>Na terenie projektowanego zadania nie występują obszary wodno-bagienne, inne obszary o płytkim zaleganiu wód podziemnych, obszary wybrzeży, górskie lub leśne, objęte ochroną, w tym strefy ujęć wód i obszary ochronne zbiorników wód śródlądowych, obszary wymagające specjalnej ochrony ze względu na występowanie gatunków roślin i zwierząt, czy też ich siedlisk lub siedlisk przyrodniczych objętych ochroną, w tym obszary Natura 2000 oraz pozostałe formy ochrony przyrody, obszary, na których standardy jakości zostały przekroczone, o krajobrazie mającym znaczenie historyczne, kulturowe lub archeologiczne, o znacznej gęstości zaludnienia, przylegające do jezior, jak również obszary ochrony uzdrowiskowej. Zgodnie z przedłożoną dokumentacją oraz dostępnymi materiałami mapowymi, realizacja inwestycji nie wiąże się z niszczeniem cennych siedlisk przyrodniczych lub gatunków roślin i zwierząt objętych ochroną, jak również naruszeniem ciągłości oraz integralności obszarów Natura 2000.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Inwestor przewiduje rozpoczęcie prac w okresie wczesnowiosennym, przed okresem lęgowym ptaków, przypadającym od 1 marca do 31 sierpnia. Rozpoczęcie prac podczas okresu lęgowego wymagałoby uprzedniego potwierdzenia przez specjalistę ornitologa braku lęgów (gniazd) chronionych gatunków ptaków na terenie inwestycji.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Panele fotowoltaiczne zostaną zamontowane pod kątem 20-35 stopni od powierzchni ziemi, a ich powierzchnie pokryte będą powłokami antyrefleksyjnymi w celu ograniczenia efektu odbłysku. Ponadto, aby umożliwić przemieszczanie się drobnych zwierząt przez teren elektrowni fotowoltaicznej, projektowane ogrodzenie planuje się wykonać bez podmurówki, pozostawiając wolną przestrzeń (ok.30 cm) pomiędzy podłożem a dolną krawędzią ogrodzenia. 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Mając na uwadze powyższe stwierdza się, że realizacja analizowanej inwestycji z uwagi na jej charakter, skalę i lokalizację oraz przyjęty zakres działań minimalizujących nie będzie znacząco negatywnie oddziaływać na środowisko w zakresie ochrony przyrody, a tym samym nie wymaga wykonania raportu o oddziaływaniu przedsięwzięcia na środowisko w odniesieniu do ochrony przyrody o obszarów Natura 2000.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Nie przewiduje się, aby prace związane z budową farmy fotowoltaicznej wiązały się ze znacząco negatywnym oddziaływaniem na pozostałe elementy środowiska oraz wystąpieniem skumulowanego oddziaływania na danym obszarze.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 xml:space="preserve">Odnośnie ryzyka wystąpienia poważnej awarii, należy zaznaczyć, że przedsięwzięcie nie należy do kategorii zakładu o zwiększonym, bądź dużym ryzyku pojawienia się awarii przemysłowej, w myśl rozporządzenia Ministra Gospodarki z dnia 10 października 2013 r. w sprawie rodzajów i ilości substancji niebezpiecznych, których znajdowanie się w zakładzie decyduje o jego zaliczeniu </w:t>
      </w:r>
      <w:r w:rsidRPr="000F4140">
        <w:rPr>
          <w:rFonts w:ascii="Times New Roman" w:hAnsi="Times New Roman" w:cs="Times New Roman"/>
          <w:sz w:val="28"/>
          <w:szCs w:val="28"/>
        </w:rPr>
        <w:lastRenderedPageBreak/>
        <w:t>do zakładu o dużym ryzyku wystąpienia poważnej awarii przemysłowej (Dz. U. z 2013 r., poz. 1479).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Inwestycja nie będzie związana z emisją gazów cieplarnianych do atmosfery. Nie wymaga zużycia wody oraz innych surowców, a wody opadowe z powierzchni paneli będą spływały bezpośrednio do gruntu. Ponadto, analizowana elektrownia słoneczna zlokalizowana zostanie poza terenami osuwisk oraz zagrożonymi podtopieniami. W związku z powyższym, nie przewiduje się ekstremalnych sytuacji klimatycznych w obrębie analizowanej inwestycji.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Uznano, iż zastosowanie prawidłowych rozwiązań projektowych, technicznych i technologicznych, zachowanie podstawowych zasad sztuki budowlanej, właściwa organizacja prac budowlanych oraz wprowadzenie wyżej wskazanych zaleceń zapewni ochronę środowiska na etapie realizacji i eksploatacji inwestycji.</w:t>
      </w:r>
    </w:p>
    <w:p w:rsidR="000F4140" w:rsidRPr="000F4140" w:rsidRDefault="000F4140" w:rsidP="000F41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140">
        <w:rPr>
          <w:rFonts w:ascii="Times New Roman" w:hAnsi="Times New Roman" w:cs="Times New Roman"/>
          <w:sz w:val="28"/>
          <w:szCs w:val="28"/>
        </w:rPr>
        <w:t>Reasumując odstąpiono od konieczności przeprowadzenia oceny oddziaływania na środowisko dla przedmiotowego przedsięwzięcia, a tym samym sporządzenia raportu o oddziaływaniu na środowisko.</w:t>
      </w:r>
    </w:p>
    <w:p w:rsidR="00CD0A35" w:rsidRDefault="00CD0A35" w:rsidP="001152AF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CD0A35" w:rsidRPr="001152AF" w:rsidRDefault="00CD0A35" w:rsidP="00CA4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</w:p>
    <w:p w:rsidR="005634A1" w:rsidRPr="001152AF" w:rsidRDefault="00541BC2" w:rsidP="00CA4642">
      <w:pPr>
        <w:spacing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hAnsi="Times New Roman" w:cs="Times New Roman"/>
          <w:sz w:val="25"/>
          <w:szCs w:val="25"/>
        </w:rPr>
        <w:tab/>
      </w:r>
      <w:r w:rsidR="005634A1"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Mając powyższe  na uwadze postanowiono jak w sentencji. </w:t>
      </w:r>
    </w:p>
    <w:p w:rsidR="005634A1" w:rsidRPr="001152AF" w:rsidRDefault="005634A1" w:rsidP="00CA464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POUCZENIE</w:t>
      </w:r>
    </w:p>
    <w:p w:rsidR="00404A82" w:rsidRPr="001152AF" w:rsidRDefault="00945F6A" w:rsidP="00CA4642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ab/>
        <w:t>Na niniejsze postanowienie nie przysługuje zażalenie.</w:t>
      </w: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43DA0" w:rsidRPr="00643DA0" w:rsidRDefault="00643DA0" w:rsidP="00643DA0">
      <w:pPr>
        <w:spacing w:after="80" w:line="240" w:lineRule="auto"/>
        <w:rPr>
          <w:rFonts w:ascii="Times New Roman" w:eastAsiaTheme="minorHAnsi" w:hAnsi="Times New Roman" w:cs="Times New Roman"/>
          <w:sz w:val="16"/>
          <w:szCs w:val="16"/>
        </w:rPr>
      </w:pPr>
      <w:r w:rsidRPr="00643DA0">
        <w:rPr>
          <w:rFonts w:ascii="Times New Roman" w:eastAsiaTheme="minorHAnsi" w:hAnsi="Times New Roman" w:cs="Times New Roman"/>
          <w:sz w:val="16"/>
          <w:szCs w:val="16"/>
        </w:rPr>
        <w:t>Otrzymują:</w:t>
      </w:r>
    </w:p>
    <w:p w:rsidR="00643DA0" w:rsidRPr="00643DA0" w:rsidRDefault="00643DA0" w:rsidP="000F4140">
      <w:pPr>
        <w:spacing w:after="80" w:line="240" w:lineRule="auto"/>
        <w:rPr>
          <w:rFonts w:ascii="Times New Roman" w:eastAsiaTheme="minorHAnsi" w:hAnsi="Times New Roman" w:cs="Times New Roman"/>
          <w:sz w:val="16"/>
          <w:szCs w:val="16"/>
        </w:rPr>
      </w:pPr>
      <w:r w:rsidRPr="00643DA0">
        <w:rPr>
          <w:rFonts w:ascii="Times New Roman" w:eastAsiaTheme="minorHAnsi" w:hAnsi="Times New Roman" w:cs="Times New Roman"/>
          <w:sz w:val="16"/>
          <w:szCs w:val="16"/>
        </w:rPr>
        <w:t xml:space="preserve">1. . </w:t>
      </w:r>
      <w:proofErr w:type="spellStart"/>
      <w:r w:rsidRPr="00643DA0">
        <w:rPr>
          <w:rFonts w:ascii="Times New Roman" w:eastAsiaTheme="minorHAnsi" w:hAnsi="Times New Roman" w:cs="Times New Roman"/>
          <w:sz w:val="16"/>
          <w:szCs w:val="16"/>
        </w:rPr>
        <w:t>R.Power</w:t>
      </w:r>
      <w:proofErr w:type="spellEnd"/>
      <w:r w:rsidRPr="00643DA0">
        <w:rPr>
          <w:rFonts w:ascii="Times New Roman" w:eastAsiaTheme="minorHAnsi" w:hAnsi="Times New Roman" w:cs="Times New Roman"/>
          <w:sz w:val="16"/>
          <w:szCs w:val="16"/>
        </w:rPr>
        <w:t xml:space="preserve"> Solar Centrum Sp. z o. o., ul. Domaniewska 39A, 02-672 Warszawa</w:t>
      </w:r>
      <w:r w:rsidRPr="00643DA0">
        <w:rPr>
          <w:rFonts w:ascii="Times New Roman" w:eastAsiaTheme="minorHAnsi" w:hAnsi="Times New Roman" w:cs="Times New Roman"/>
          <w:sz w:val="16"/>
          <w:szCs w:val="16"/>
        </w:rPr>
        <w:br/>
        <w:t>2. Pozostałe strony w/g  załącznika</w:t>
      </w:r>
      <w:r w:rsidRPr="00643DA0">
        <w:rPr>
          <w:rFonts w:ascii="Times New Roman" w:eastAsiaTheme="minorHAnsi" w:hAnsi="Times New Roman" w:cs="Times New Roman"/>
          <w:sz w:val="16"/>
          <w:szCs w:val="16"/>
        </w:rPr>
        <w:br/>
        <w:t>3. a/a BL</w:t>
      </w:r>
    </w:p>
    <w:p w:rsidR="001152AF" w:rsidRPr="00643DA0" w:rsidRDefault="001152AF" w:rsidP="00115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1152AF" w:rsidRPr="00643DA0" w:rsidRDefault="001152AF" w:rsidP="00115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>Do wiadomości:</w:t>
      </w:r>
    </w:p>
    <w:p w:rsidR="001152AF" w:rsidRDefault="00643DA0" w:rsidP="00643D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="001152AF" w:rsidRPr="00643DA0">
        <w:rPr>
          <w:rFonts w:ascii="Times New Roman" w:hAnsi="Times New Roman" w:cs="Times New Roman"/>
          <w:sz w:val="16"/>
          <w:szCs w:val="16"/>
        </w:rPr>
        <w:t>Regionalny Dyrektor Ochrony Środowiska, ul. Dworcowa 81, 85-059 Bydgoszcz</w:t>
      </w:r>
    </w:p>
    <w:p w:rsidR="000A0A05" w:rsidRDefault="00643DA0" w:rsidP="00643D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</w:t>
      </w:r>
      <w:r w:rsidR="001152AF" w:rsidRPr="00643DA0">
        <w:rPr>
          <w:rFonts w:ascii="Times New Roman" w:hAnsi="Times New Roman" w:cs="Times New Roman"/>
          <w:sz w:val="16"/>
          <w:szCs w:val="16"/>
        </w:rPr>
        <w:t xml:space="preserve">Państwowy Powiatowy Inspektor  Sanitarny, ul. Szosa Bydgoska 1, 87-100 Toruń </w:t>
      </w:r>
      <w:r w:rsidR="001152AF" w:rsidRPr="00643DA0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643DA0" w:rsidRPr="00643DA0" w:rsidRDefault="00643DA0" w:rsidP="00643D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0F4140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 xml:space="preserve">. </w:t>
      </w:r>
      <w:r w:rsidRPr="00643DA0">
        <w:rPr>
          <w:rFonts w:ascii="Times New Roman" w:eastAsiaTheme="minorHAnsi" w:hAnsi="Times New Roman" w:cs="Times New Roman"/>
          <w:sz w:val="16"/>
          <w:szCs w:val="16"/>
        </w:rPr>
        <w:t>Sołtys sołectwa Bierzgłowo</w:t>
      </w:r>
    </w:p>
    <w:p w:rsidR="002E4B58" w:rsidRPr="000A0A05" w:rsidRDefault="000F4140" w:rsidP="00115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>
        <w:rPr>
          <w:rFonts w:ascii="Times New Roman" w:eastAsiaTheme="minorHAnsi" w:hAnsi="Times New Roman" w:cs="Times New Roman"/>
          <w:sz w:val="16"/>
          <w:szCs w:val="16"/>
        </w:rPr>
        <w:t>4.</w:t>
      </w:r>
      <w:r w:rsidR="00643DA0" w:rsidRPr="00643DA0">
        <w:rPr>
          <w:rFonts w:ascii="Times New Roman" w:eastAsiaTheme="minorHAnsi" w:hAnsi="Times New Roman" w:cs="Times New Roman"/>
          <w:sz w:val="16"/>
          <w:szCs w:val="16"/>
        </w:rPr>
        <w:t>Wywieszono tablica ogłoszeń sołectwa Bierzgłowo, UG w Łubiance oraz stronie internetowej BIP</w:t>
      </w:r>
    </w:p>
    <w:sectPr w:rsidR="002E4B58" w:rsidRPr="000A0A05" w:rsidSect="003F1C07">
      <w:footerReference w:type="default" r:id="rId8"/>
      <w:pgSz w:w="11906" w:h="16838" w:code="9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ABC" w:rsidRDefault="00521ABC" w:rsidP="00037ED6">
      <w:pPr>
        <w:spacing w:after="0" w:line="240" w:lineRule="auto"/>
      </w:pPr>
      <w:r>
        <w:separator/>
      </w:r>
    </w:p>
  </w:endnote>
  <w:endnote w:type="continuationSeparator" w:id="0">
    <w:p w:rsidR="00521ABC" w:rsidRDefault="00521ABC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E6D">
          <w:rPr>
            <w:noProof/>
          </w:rPr>
          <w:t>6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ABC" w:rsidRDefault="00521ABC" w:rsidP="00037ED6">
      <w:pPr>
        <w:spacing w:after="0" w:line="240" w:lineRule="auto"/>
      </w:pPr>
      <w:r>
        <w:separator/>
      </w:r>
    </w:p>
  </w:footnote>
  <w:footnote w:type="continuationSeparator" w:id="0">
    <w:p w:rsidR="00521ABC" w:rsidRDefault="00521ABC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9268A"/>
    <w:multiLevelType w:val="hybridMultilevel"/>
    <w:tmpl w:val="35AA19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B73B2"/>
    <w:multiLevelType w:val="hybridMultilevel"/>
    <w:tmpl w:val="9C945F8C"/>
    <w:lvl w:ilvl="0" w:tplc="825EE4FE">
      <w:start w:val="3"/>
      <w:numFmt w:val="lowerLetter"/>
      <w:lvlText w:val="%1)"/>
      <w:lvlJc w:val="left"/>
      <w:pPr>
        <w:tabs>
          <w:tab w:val="num" w:pos="454"/>
        </w:tabs>
        <w:ind w:left="284" w:firstLine="1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6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9B50A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04457"/>
    <w:rsid w:val="00007AAD"/>
    <w:rsid w:val="00011D39"/>
    <w:rsid w:val="00016561"/>
    <w:rsid w:val="000347A4"/>
    <w:rsid w:val="00034B66"/>
    <w:rsid w:val="00037ED6"/>
    <w:rsid w:val="00085326"/>
    <w:rsid w:val="00092833"/>
    <w:rsid w:val="000A0A05"/>
    <w:rsid w:val="000B64E9"/>
    <w:rsid w:val="000F4140"/>
    <w:rsid w:val="00107C5F"/>
    <w:rsid w:val="001152AF"/>
    <w:rsid w:val="00120E6D"/>
    <w:rsid w:val="00135071"/>
    <w:rsid w:val="00137C95"/>
    <w:rsid w:val="001437B7"/>
    <w:rsid w:val="0018453B"/>
    <w:rsid w:val="001A72BD"/>
    <w:rsid w:val="001E3172"/>
    <w:rsid w:val="002069D7"/>
    <w:rsid w:val="00206C6D"/>
    <w:rsid w:val="00223660"/>
    <w:rsid w:val="00226CD4"/>
    <w:rsid w:val="00241E61"/>
    <w:rsid w:val="00284588"/>
    <w:rsid w:val="002A12A7"/>
    <w:rsid w:val="002C0FDB"/>
    <w:rsid w:val="002D3942"/>
    <w:rsid w:val="002E4B58"/>
    <w:rsid w:val="002F26C3"/>
    <w:rsid w:val="003403EF"/>
    <w:rsid w:val="0035228C"/>
    <w:rsid w:val="00354740"/>
    <w:rsid w:val="003710C3"/>
    <w:rsid w:val="00381D91"/>
    <w:rsid w:val="003A553A"/>
    <w:rsid w:val="003C1B9E"/>
    <w:rsid w:val="003F1C07"/>
    <w:rsid w:val="00404A82"/>
    <w:rsid w:val="00452B98"/>
    <w:rsid w:val="00466705"/>
    <w:rsid w:val="0047176F"/>
    <w:rsid w:val="00520EFA"/>
    <w:rsid w:val="00521ABC"/>
    <w:rsid w:val="0052230A"/>
    <w:rsid w:val="00541BC2"/>
    <w:rsid w:val="0054535F"/>
    <w:rsid w:val="005634A1"/>
    <w:rsid w:val="00573C3E"/>
    <w:rsid w:val="00585667"/>
    <w:rsid w:val="00591610"/>
    <w:rsid w:val="005A1CFD"/>
    <w:rsid w:val="005D0EE6"/>
    <w:rsid w:val="005E31C6"/>
    <w:rsid w:val="005E5FD7"/>
    <w:rsid w:val="0060736A"/>
    <w:rsid w:val="006263C5"/>
    <w:rsid w:val="00643DA0"/>
    <w:rsid w:val="0066033B"/>
    <w:rsid w:val="00665FC3"/>
    <w:rsid w:val="00671C5A"/>
    <w:rsid w:val="00673E92"/>
    <w:rsid w:val="00692288"/>
    <w:rsid w:val="006944A6"/>
    <w:rsid w:val="006C437F"/>
    <w:rsid w:val="006C7DAD"/>
    <w:rsid w:val="006D61DA"/>
    <w:rsid w:val="00704D3A"/>
    <w:rsid w:val="00720818"/>
    <w:rsid w:val="00735984"/>
    <w:rsid w:val="007574EB"/>
    <w:rsid w:val="0078137E"/>
    <w:rsid w:val="00784C3B"/>
    <w:rsid w:val="007911C6"/>
    <w:rsid w:val="007B092A"/>
    <w:rsid w:val="007D1248"/>
    <w:rsid w:val="007E4CBC"/>
    <w:rsid w:val="00802886"/>
    <w:rsid w:val="008369A3"/>
    <w:rsid w:val="00840B3B"/>
    <w:rsid w:val="00841817"/>
    <w:rsid w:val="00841A50"/>
    <w:rsid w:val="008427AA"/>
    <w:rsid w:val="00863372"/>
    <w:rsid w:val="00872580"/>
    <w:rsid w:val="00875681"/>
    <w:rsid w:val="008A5BDD"/>
    <w:rsid w:val="008C256D"/>
    <w:rsid w:val="008C30AD"/>
    <w:rsid w:val="008C315D"/>
    <w:rsid w:val="00900C62"/>
    <w:rsid w:val="00900DE4"/>
    <w:rsid w:val="00904DE7"/>
    <w:rsid w:val="00906A95"/>
    <w:rsid w:val="00930E11"/>
    <w:rsid w:val="00935BAF"/>
    <w:rsid w:val="00945F6A"/>
    <w:rsid w:val="00952880"/>
    <w:rsid w:val="00952A7B"/>
    <w:rsid w:val="009651A0"/>
    <w:rsid w:val="00986DC6"/>
    <w:rsid w:val="009A48A3"/>
    <w:rsid w:val="009B02B7"/>
    <w:rsid w:val="009B5B7C"/>
    <w:rsid w:val="009C3D08"/>
    <w:rsid w:val="00A05497"/>
    <w:rsid w:val="00A30B1C"/>
    <w:rsid w:val="00A41119"/>
    <w:rsid w:val="00A615A3"/>
    <w:rsid w:val="00A83A90"/>
    <w:rsid w:val="00A8434C"/>
    <w:rsid w:val="00AB7602"/>
    <w:rsid w:val="00AD635C"/>
    <w:rsid w:val="00B2399B"/>
    <w:rsid w:val="00B34F07"/>
    <w:rsid w:val="00B35C36"/>
    <w:rsid w:val="00B7568A"/>
    <w:rsid w:val="00B77797"/>
    <w:rsid w:val="00B8466A"/>
    <w:rsid w:val="00BB1D77"/>
    <w:rsid w:val="00BB4294"/>
    <w:rsid w:val="00BF0512"/>
    <w:rsid w:val="00C10229"/>
    <w:rsid w:val="00C14AF3"/>
    <w:rsid w:val="00C50074"/>
    <w:rsid w:val="00C751BE"/>
    <w:rsid w:val="00C80216"/>
    <w:rsid w:val="00C87C21"/>
    <w:rsid w:val="00C92BFE"/>
    <w:rsid w:val="00C95A65"/>
    <w:rsid w:val="00CA4642"/>
    <w:rsid w:val="00CD0A35"/>
    <w:rsid w:val="00CE4409"/>
    <w:rsid w:val="00D01766"/>
    <w:rsid w:val="00D103E2"/>
    <w:rsid w:val="00D24407"/>
    <w:rsid w:val="00D24CC7"/>
    <w:rsid w:val="00D6022A"/>
    <w:rsid w:val="00D75A63"/>
    <w:rsid w:val="00DB1596"/>
    <w:rsid w:val="00DB19E1"/>
    <w:rsid w:val="00DC1FD6"/>
    <w:rsid w:val="00DC63AF"/>
    <w:rsid w:val="00DE1750"/>
    <w:rsid w:val="00DE27C8"/>
    <w:rsid w:val="00DF0A5D"/>
    <w:rsid w:val="00DF276A"/>
    <w:rsid w:val="00E03BA4"/>
    <w:rsid w:val="00E21E07"/>
    <w:rsid w:val="00E505D5"/>
    <w:rsid w:val="00E5741A"/>
    <w:rsid w:val="00E63101"/>
    <w:rsid w:val="00E73107"/>
    <w:rsid w:val="00E8759A"/>
    <w:rsid w:val="00E92F11"/>
    <w:rsid w:val="00EA3F1C"/>
    <w:rsid w:val="00EA64D9"/>
    <w:rsid w:val="00EE0B90"/>
    <w:rsid w:val="00F030A8"/>
    <w:rsid w:val="00F210C1"/>
    <w:rsid w:val="00F43CA4"/>
    <w:rsid w:val="00F47439"/>
    <w:rsid w:val="00F66029"/>
    <w:rsid w:val="00F81BF3"/>
    <w:rsid w:val="00F83D1F"/>
    <w:rsid w:val="00FD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2F7583A-EF34-4E21-A7DC-546B3542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  <w:style w:type="character" w:styleId="Hipercze">
    <w:name w:val="Hyperlink"/>
    <w:basedOn w:val="Domylnaczcionkaakapitu"/>
    <w:uiPriority w:val="99"/>
    <w:unhideWhenUsed/>
    <w:rsid w:val="005223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EF795-C8B4-4779-89E0-CCF4AB1C0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6</Pages>
  <Words>2146</Words>
  <Characters>12879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103</cp:revision>
  <cp:lastPrinted>2015-07-15T10:08:00Z</cp:lastPrinted>
  <dcterms:created xsi:type="dcterms:W3CDTF">2013-08-23T05:18:00Z</dcterms:created>
  <dcterms:modified xsi:type="dcterms:W3CDTF">2015-11-23T08:03:00Z</dcterms:modified>
</cp:coreProperties>
</file>