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A82" w:rsidRPr="005E4B55" w:rsidRDefault="00404A82" w:rsidP="005E4B55">
      <w:pPr>
        <w:pStyle w:val="Bezodstpw"/>
        <w:spacing w:line="276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 w:rsidRPr="005E4B55">
        <w:rPr>
          <w:rFonts w:ascii="Times New Roman" w:hAnsi="Times New Roman" w:cs="Times New Roman"/>
          <w:sz w:val="26"/>
          <w:szCs w:val="26"/>
        </w:rPr>
        <w:t xml:space="preserve">Łubianka, dnia </w:t>
      </w:r>
      <w:r w:rsidR="00B54672">
        <w:rPr>
          <w:rFonts w:ascii="Times New Roman" w:hAnsi="Times New Roman" w:cs="Times New Roman"/>
          <w:sz w:val="26"/>
          <w:szCs w:val="26"/>
        </w:rPr>
        <w:t>15.10</w:t>
      </w:r>
      <w:r w:rsidR="0050365E">
        <w:rPr>
          <w:rFonts w:ascii="Times New Roman" w:hAnsi="Times New Roman" w:cs="Times New Roman"/>
          <w:sz w:val="26"/>
          <w:szCs w:val="26"/>
        </w:rPr>
        <w:t>.2015</w:t>
      </w:r>
      <w:r w:rsidR="00823A34" w:rsidRPr="005E4B55">
        <w:rPr>
          <w:rFonts w:ascii="Times New Roman" w:hAnsi="Times New Roman" w:cs="Times New Roman"/>
          <w:sz w:val="26"/>
          <w:szCs w:val="26"/>
        </w:rPr>
        <w:t xml:space="preserve"> </w:t>
      </w:r>
      <w:r w:rsidRPr="005E4B55">
        <w:rPr>
          <w:rFonts w:ascii="Times New Roman" w:hAnsi="Times New Roman" w:cs="Times New Roman"/>
          <w:sz w:val="26"/>
          <w:szCs w:val="26"/>
        </w:rPr>
        <w:t>r.</w:t>
      </w:r>
    </w:p>
    <w:p w:rsidR="009D07DD" w:rsidRDefault="009D07DD" w:rsidP="009D07DD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</w:p>
    <w:p w:rsidR="00B54672" w:rsidRDefault="00B54672" w:rsidP="00B54672">
      <w:pPr>
        <w:rPr>
          <w:rFonts w:ascii="Times New Roman" w:eastAsia="Calibri" w:hAnsi="Times New Roman" w:cs="Times New Roman"/>
          <w:sz w:val="25"/>
          <w:szCs w:val="25"/>
        </w:rPr>
      </w:pPr>
      <w:r>
        <w:rPr>
          <w:rFonts w:ascii="Times New Roman" w:eastAsia="Calibri" w:hAnsi="Times New Roman" w:cs="Times New Roman"/>
          <w:sz w:val="25"/>
          <w:szCs w:val="25"/>
        </w:rPr>
        <w:t>ROŚ.6220.8.3</w:t>
      </w:r>
      <w:r w:rsidRPr="00B54672">
        <w:rPr>
          <w:rFonts w:ascii="Times New Roman" w:eastAsia="Calibri" w:hAnsi="Times New Roman" w:cs="Times New Roman"/>
          <w:sz w:val="25"/>
          <w:szCs w:val="25"/>
        </w:rPr>
        <w:t>.2014</w:t>
      </w:r>
    </w:p>
    <w:p w:rsidR="00A54F3B" w:rsidRPr="005E4B55" w:rsidRDefault="00A54F3B" w:rsidP="005E4B5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4B55">
        <w:rPr>
          <w:rFonts w:ascii="Times New Roman" w:hAnsi="Times New Roman" w:cs="Times New Roman"/>
          <w:b/>
          <w:sz w:val="26"/>
          <w:szCs w:val="26"/>
        </w:rPr>
        <w:t>DECYZJA</w:t>
      </w:r>
    </w:p>
    <w:p w:rsidR="00A54F3B" w:rsidRPr="005E4B55" w:rsidRDefault="00A54F3B" w:rsidP="005E4B5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E4B55">
        <w:rPr>
          <w:rFonts w:ascii="Times New Roman" w:hAnsi="Times New Roman" w:cs="Times New Roman"/>
          <w:b/>
          <w:sz w:val="26"/>
          <w:szCs w:val="26"/>
        </w:rPr>
        <w:t>o środowiskowych uwarunkowaniach</w:t>
      </w:r>
    </w:p>
    <w:p w:rsidR="009D07DD" w:rsidRDefault="00A54F3B" w:rsidP="005E4B55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  Na podstawie art. 104 ustawy z dnia 14 czerwca 1960r. Kodeks postępowania administracyjnego (Dz. U. z 2013 r., poz. 267 ,t.j.) w związku z art. 71 ust 2 </w:t>
      </w:r>
      <w:r w:rsidR="00730038"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>pkt. 2</w:t>
      </w: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>, art. 75 ust. 1 pkt. 4 oraz art. 84 ustawy z dnia 3 października 2008 r. o udostępnianiu informacji o środowisku i jego ochronie, udziale społeczeństwa w ochronie środowiska oraz o ocenach oddziaływania na środowisko (Dz.U.2013.1235 j.t.),</w:t>
      </w:r>
      <w:r w:rsidRPr="005E4B55">
        <w:rPr>
          <w:rFonts w:ascii="Times New Roman" w:hAnsi="Times New Roman" w:cs="Times New Roman"/>
          <w:sz w:val="26"/>
          <w:szCs w:val="26"/>
        </w:rPr>
        <w:t xml:space="preserve"> </w:t>
      </w:r>
      <w:r w:rsidR="0050365E" w:rsidRPr="0050365E">
        <w:rPr>
          <w:rFonts w:ascii="Times New Roman" w:hAnsi="Times New Roman" w:cs="Times New Roman"/>
          <w:sz w:val="26"/>
          <w:szCs w:val="26"/>
        </w:rPr>
        <w:t>a także w</w:t>
      </w:r>
      <w:r w:rsidR="00B54672">
        <w:rPr>
          <w:rFonts w:ascii="Times New Roman" w:hAnsi="Times New Roman" w:cs="Times New Roman"/>
          <w:sz w:val="26"/>
          <w:szCs w:val="26"/>
        </w:rPr>
        <w:t xml:space="preserve"> § 3  ust. 1 pkt 60</w:t>
      </w:r>
      <w:r w:rsidR="0050365E" w:rsidRPr="0050365E">
        <w:rPr>
          <w:rFonts w:ascii="Times New Roman" w:hAnsi="Times New Roman" w:cs="Times New Roman"/>
          <w:sz w:val="26"/>
          <w:szCs w:val="26"/>
        </w:rPr>
        <w:t xml:space="preserve"> rozporządzenia Rady Ministrów z dnia 9 listopada 2010r. w sprawie przedsięwzięć mogących znacząco oddziaływać na środowisko (Dz. U. z 2010r. Nr 213 poz. 1397 ze zm.), </w:t>
      </w:r>
      <w:r w:rsidR="00B54672" w:rsidRPr="00B54672">
        <w:rPr>
          <w:rFonts w:ascii="Times New Roman" w:hAnsi="Times New Roman" w:cs="Times New Roman"/>
          <w:sz w:val="26"/>
          <w:szCs w:val="26"/>
        </w:rPr>
        <w:t>po rozpatrzeniu wniosku z dnia 24.07.2014 r. Gminy Łubianka, Aleja Jana Pawła II nr 8, 87-152 Łubianka</w:t>
      </w:r>
      <w:r w:rsidR="00B54672">
        <w:rPr>
          <w:rFonts w:ascii="Times New Roman" w:hAnsi="Times New Roman" w:cs="Times New Roman"/>
          <w:sz w:val="26"/>
          <w:szCs w:val="26"/>
        </w:rPr>
        <w:t>.</w:t>
      </w:r>
    </w:p>
    <w:p w:rsidR="00823A34" w:rsidRDefault="00217F08" w:rsidP="0050365E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5E4B5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ab/>
      </w:r>
      <w:r w:rsidR="00404A82" w:rsidRPr="005E4B5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   </w:t>
      </w:r>
    </w:p>
    <w:p w:rsidR="0050365E" w:rsidRPr="001152AF" w:rsidRDefault="0050365E" w:rsidP="0050365E">
      <w:pPr>
        <w:pStyle w:val="Bezodstpw"/>
        <w:jc w:val="center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stwierdzam brak potrzeby</w:t>
      </w:r>
    </w:p>
    <w:p w:rsidR="0050365E" w:rsidRPr="001152AF" w:rsidRDefault="0050365E" w:rsidP="0050365E">
      <w:pPr>
        <w:pStyle w:val="Bezodstpw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>przeprowadzenia oceny oddziaływania na środowisko</w:t>
      </w:r>
    </w:p>
    <w:p w:rsidR="00B54672" w:rsidRPr="001152AF" w:rsidRDefault="0050365E" w:rsidP="0050365E">
      <w:pPr>
        <w:pStyle w:val="Bezodstpw"/>
        <w:tabs>
          <w:tab w:val="left" w:pos="3444"/>
        </w:tabs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5"/>
          <w:szCs w:val="25"/>
          <w:lang w:eastAsia="pl-PL"/>
        </w:rPr>
        <w:tab/>
      </w:r>
    </w:p>
    <w:p w:rsidR="0050365E" w:rsidRPr="001152AF" w:rsidRDefault="0050365E" w:rsidP="0050365E">
      <w:pPr>
        <w:pStyle w:val="Bezodstpw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dla przedsięwzięcia pn. : </w:t>
      </w:r>
      <w:r w:rsidR="00B54672" w:rsidRPr="001543E1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„Przebudowie dróg gminnych nr: 100408C (ul. Prosta), 100414C (ul. Parkowa), 100423C (Aleja Kard. St. Wyszyńskiego), 100424C (ul. Migdałowa), 1004434C (ul. Wschodnia), 100435C (ul. Młodzieżowa)  i 100436C (ul. Poprzeczna) oraz dróg powiatowych Pigża – Brąchnowo – Chełmża nr 2018C (ul. Św. A. Boboli)  i Świerczynki – Kowróz – Ostaszewo nr 2021C (ul. Graniczna) w miejscowości Pigża  na łącznej długości ok. 6 km  położonych na działkach nr: 27 - dr, cz. 57/1, cz. 63, 64 - dr, cz. 68, cz. 206, cz. 58, cz. 69/2, cz. 69/1, cz. 59/1, cz. 59/2, cz. 207/2, cz. 207/6, cz. 207/3, 82 - dr, cz. 80/9, cz. 138/16, cz. 75, cz. 208, cz. 73/2, cz. 133, cz. 60/1, cz. 60/2, cz. 119, cz. 135/28, cz. 135/27, 121 - dr, cz.120/34, cz. 135/2, cz. 120/32, 25 - dr, cz.139, cz. 141, 140 - dr, 46 - dr, 52 - dr, cz. 142, 150 - dr, 88 - dr i 89 – dr”</w:t>
      </w:r>
    </w:p>
    <w:p w:rsidR="00823A34" w:rsidRPr="005E4B55" w:rsidRDefault="00823A34" w:rsidP="005E4B55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404A82" w:rsidRDefault="00404A82" w:rsidP="005E4B55">
      <w:pPr>
        <w:pStyle w:val="Bezodstpw"/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5E4B5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UZASADNIENIE</w:t>
      </w:r>
    </w:p>
    <w:p w:rsidR="0050365E" w:rsidRDefault="00AB7602" w:rsidP="0050365E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</w:p>
    <w:p w:rsidR="00B54672" w:rsidRPr="001152AF" w:rsidRDefault="00B54672" w:rsidP="00B54672">
      <w:pPr>
        <w:pStyle w:val="Bezodstpw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Dnia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24.07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.2014 r. 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Wójt Gminy Łubianka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zwrócił się z wnioskiem o wydanie decyzji o środowiskowych uwarunkowań zgody na realizację przedsięwzięcia pn.: </w:t>
      </w:r>
      <w:r w:rsidRPr="001543E1">
        <w:rPr>
          <w:rFonts w:ascii="Times New Roman" w:eastAsia="Times New Roman" w:hAnsi="Times New Roman" w:cs="Times New Roman"/>
          <w:sz w:val="25"/>
          <w:szCs w:val="25"/>
          <w:lang w:eastAsia="pl-PL"/>
        </w:rPr>
        <w:t>„Przebudowie dróg gminnych nr: 100408C (ul. Prosta), 100414C (ul. Parkowa), 100423C (Aleja Kard. St. Wyszyńskiego), 100424C (ul. Migdałowa), 1004434C (ul. Wschodnia), 100435C (ul. Młodzieżowa)  i 100436C (ul. Poprzeczna) oraz dróg powiatowych Pigża – Brąchnowo – Chełmża nr 2018C (ul. Św. A. Boboli)  i Świerczynki – Kowróz – Ostaszewo nr 2021C (ul. Graniczna) w miejscowości Pigża  na łącznej długości ok. 6 km  położonych na działkach nr: 27 - dr, cz. 57/1, cz. 63, 64 - dr, cz. 68, cz. 206, cz. 58, cz. 69/2, cz. 69/1, cz. 59/1, cz. 59/2, cz. 207/2, cz. 207/6, cz. 207/3, 82 - dr, cz. 80/9, cz. 138/16, cz. 75, cz. 208, cz. 73/2, cz. 133, cz. 60/1, cz. 60/2, cz. 119, cz. 135/28, cz. 135/27, 121 - dr, cz.120/34, cz. 135/2, cz. 120/32, 25 - dr, cz.139, cz. 141, 140 - dr, 46 - dr, 52 - dr, cz. 142, 150 - dr, 88 - dr i 89 – dr”</w:t>
      </w:r>
    </w:p>
    <w:p w:rsidR="00B54672" w:rsidRPr="001152AF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lastRenderedPageBreak/>
        <w:tab/>
        <w:t>Na podstawie art. 64 ust. 1 pkt. 1 i 2 ustawy z dnia 3 października 2008r. o udostępnianiu informacji o środowisku i jego ochronie, udziale społeczeństwa w ochronie środowiska oraz o ocenach oddziaływania na środowisko, Wójt Gminy Łubianka pismem znak ROŚ.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6220.8.1.2014 z dnia 29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.0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7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.2014 r. wystąpił do Regionalnego Dyrektora Ochrony Środowiska w Bydgoszczy i Państwowego Powiatowego Inspektora Sanitarnego w Toruniu o wydanie opinii w sprawie obowiązku przeprowadzenia oceny oddziaływania na środowisko przedmiotowej inwestycji.                                           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br/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Państwowy Powiatowy Inspektor Sanitarny w Toruniu opinią (znak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N.NZ.40.2.4.7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.2014)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z dnia 11.08.2014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r. uznał, że dla powyższego przedsięwzięcia nie ma konieczności przeprowadzenia oceny oddziaływania na środowisko. </w:t>
      </w:r>
    </w:p>
    <w:p w:rsidR="00B54672" w:rsidRPr="001152AF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Regionalny Dyrektor Ochrony Środowiska w Bydgoszczy wezwał inwestora do uzupełnienia karty informacyjnej przedsięwzięcia (pismami: znak WOO.4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240.481.2014.ADS z dnia 14.04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.2014 r.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, WOO.4240.481.2014.ADS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.2 z dnia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12.08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.2015 r.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)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. Inwestor uzupełnił kartę informacyjną zgodnie z otrzymanym wezwaniem (pismem z dnia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04.05.2015 r.)</w:t>
      </w:r>
    </w:p>
    <w:p w:rsidR="00B54672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Regionalny Dyrektor Ochrony Środowiska w Bydgoszczy postanowieniem znak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WOO.4240.481.2014.ADS.3</w:t>
      </w:r>
      <w:r w:rsidRPr="00444C09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z dnia 14.05</w:t>
      </w:r>
      <w:r w:rsidRPr="001152AF">
        <w:rPr>
          <w:rFonts w:ascii="Times New Roman" w:eastAsia="Times New Roman" w:hAnsi="Times New Roman" w:cs="Times New Roman"/>
          <w:sz w:val="25"/>
          <w:szCs w:val="25"/>
          <w:lang w:eastAsia="pl-PL"/>
        </w:rPr>
        <w:t>.2015 r. wyraził opinię, że dla ww. przedsięwzięcia nie istnieje  konieczność przeprowadzenia oceny oddziaływania na środowisko.</w:t>
      </w:r>
    </w:p>
    <w:p w:rsidR="00BC2E8A" w:rsidRPr="005E4B55" w:rsidRDefault="00BC2E8A" w:rsidP="005E4B55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EC5C41">
        <w:rPr>
          <w:rFonts w:ascii="Times New Roman" w:eastAsia="Times New Roman" w:hAnsi="Times New Roman" w:cs="Times New Roman"/>
          <w:sz w:val="26"/>
          <w:szCs w:val="26"/>
          <w:lang w:eastAsia="pl-PL"/>
        </w:rPr>
        <w:t>Postanowieniem z dnia</w:t>
      </w:r>
      <w:r w:rsidR="0050365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30.06.2015 </w:t>
      </w: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r. znak </w:t>
      </w:r>
      <w:r w:rsidR="00B54672">
        <w:rPr>
          <w:rFonts w:ascii="Times New Roman" w:eastAsia="Times New Roman" w:hAnsi="Times New Roman" w:cs="Times New Roman"/>
          <w:sz w:val="26"/>
          <w:szCs w:val="26"/>
          <w:lang w:eastAsia="pl-PL"/>
        </w:rPr>
        <w:t>ROŚ.6220.8</w:t>
      </w:r>
      <w:r w:rsidR="00EC5C41" w:rsidRPr="00EC5C41">
        <w:rPr>
          <w:rFonts w:ascii="Times New Roman" w:eastAsia="Times New Roman" w:hAnsi="Times New Roman" w:cs="Times New Roman"/>
          <w:sz w:val="26"/>
          <w:szCs w:val="26"/>
          <w:lang w:eastAsia="pl-PL"/>
        </w:rPr>
        <w:t>.2.2014</w:t>
      </w:r>
      <w:r w:rsidR="00EC5C4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5E4B55">
        <w:rPr>
          <w:rFonts w:ascii="Times New Roman" w:eastAsia="Times New Roman" w:hAnsi="Times New Roman" w:cs="Times New Roman"/>
          <w:sz w:val="26"/>
          <w:szCs w:val="26"/>
          <w:lang w:eastAsia="pl-PL"/>
        </w:rPr>
        <w:t>Wójt Gminy Łubianka stwierdził brak potrzeby przeprowadzenia oceny oddziaływania na środowisko dla ww. planowanej inwestycji.</w:t>
      </w:r>
    </w:p>
    <w:p w:rsidR="00B54672" w:rsidRPr="00204EB6" w:rsidRDefault="00B54672" w:rsidP="00B54672">
      <w:pPr>
        <w:pStyle w:val="Bezodstpw"/>
        <w:ind w:firstLine="708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>Po zapoznaniu się z dołączona do wniosku dokumentacją, tj. kartą informacyjną przedsięwzięcia (uzupełnioną 4 maja 2015r.) stwierdzono, że jest to zamierzenie mogące potencjalnie znacząco oddziaływać znacząco na środowisko, wymienione z §3 ust. 1 pkt 60 cyt. Rozporządzenia Rady Ministrów z dnia 9 listopada 2010r.: „drogi o nawierzchni twardej o całkowitej długości przedsięwzięcia powyżej 1 km inne niż wymienione w § 2 ust. 1 pkt 31i 32 oraz obiekty mostowe w ciągu drogi o nawierzchni twardej, z wyłączeniem przebudowy dróg oraz obiektów mostowych, służących do obsługi stacji elektroenergetycznych i zlokalizowanych poza obszarami objętymi formami ochrony przyrody, o których mowa w art. 6 ust. 1 pkt 1 – 5, 8 i 9 ustawy z dnia 16 kwietnia 2004r. o ochronie przyrody”.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Odstąpiono od oceny zgodności przedmiotowego zamierzenia z ustaleniami miejscowego planu zagospodarowania przestrzennego, ponieważ analizowana inwestycja dotyczy przebudowy drogi publicznej, która w myśl art. 80 ust. 2 ww. ustawy z dnia 3 października 2008r.  nie wymaga stwierdzenia zgodności lokalizacji przedsięwzięcia z ustaleniami ww. plany, jeżeli został on uchwalony.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W odniesieniu do uwarunkowań wymienionych w art. 63 ust. 1 cyt. ustawy z dnia 3 października 2008r. o udostępnieniu informacji o środowisku i jego ochronie, udziale społeczeństwa w ochronie środowiska oraz o ocenach oddziaływania na środowisko, tutejszy Organ przeanalizował rodzaj i charakter inwestycji, usytuowanie przedsięwzięcia, zważywszy na możliwe zagrożenia dla środowiska, jak również i skalę możliwego oddziaływania.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Zamierzenie znajdujące się na terenie gminy Łubianka w m. Pigża. Dotyczy przebudowy dróg gminnych nr 100408C (ul. Prosta), 100414C (ul. Parkowa), 100423C (ul. Aleja Kard. St. Wyszyńskiego), 100424C (ul. Migdałowa), 100434C (ul. Wschodnia), 100435C (ul. Młodzieżowa) i 100436C (ul. Poprzeczna) oraz dróg powiatowych Pigża – Brąchnowo – Chełmża nr 2018C (ul. A. Boboli) i Świerczynki – Kowróz – Ostaszewo nr 2021C (ul. Graniczna), na długości łącznie ok 6 km.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lastRenderedPageBreak/>
        <w:tab/>
        <w:t>Są to odcinki usytuowane zarówno w terenie zabudowanym, jak też rolniczym, o zróżnicowanej nawierzchni (gruntowej zwykłej i ulepszonej żużlem, kamieniem, gruzem, czy bitumicznej). Posiadają nienormatywne profile poprzeczne i podłużne oraz nieregularne wystrzępione krawędzie jezdni. Pobocza gruntowe są zawyżone. Występujące po obu stronach dróg rowy odwadniające zanikają, zostały zniszczone, bądź zamulone, więc wymagają odtworzenia.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Sąsiedztwo inwestycji stanowią obszary wykorzystywane gospodarczo (siedliskowo), o profilu rolniczym, z uzupełniającą zabudową mieszkaniową jednorodzinną. Odległość najbliższych budynków od krawędzi jezdni wynosi od 6 do 12 m.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 W ramach zadania nastąpi: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>1. Przebudowa nawierzchni dróg gminnych oraz skrzyżowań drogi powiatowej nr 2018Cz gminnymi nr:100408C, 100434C, a także powiatowej nr 2021C z gminną nr 100435C, w następującej technologii:</w:t>
      </w:r>
    </w:p>
    <w:p w:rsidR="00B54672" w:rsidRPr="00204EB6" w:rsidRDefault="00B54672" w:rsidP="00B54672">
      <w:pPr>
        <w:pStyle w:val="Bezodstpw"/>
        <w:ind w:left="708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a. wykonanie warstw konstrukcyjnych podbudowy z gruzu i/ lub kruszyw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kamiennych, gr. </w:t>
      </w: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do 25 cm, 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b. ułożenie warstwy wyrównawczej, gr, do 5 cm na całej szerokości jezdni,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c. ułożenie warstwy ścieralnej, gr. do 4 cm na całej szerokości jezdni,</w:t>
      </w:r>
    </w:p>
    <w:p w:rsidR="00B54672" w:rsidRPr="00204EB6" w:rsidRDefault="00B54672" w:rsidP="00B54672">
      <w:pPr>
        <w:pStyle w:val="Bezodstpw"/>
        <w:ind w:left="708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>d. wykonanie poboczy – szerokości 0,75 m obustronnie z kruszywa kamiennego, gr. 10 cm,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e. odbudowa istniejących zjazdów do posesji,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f. regulacja oraz oczyszczenie rowów przydrożnych, przepustów pod koroną drogi,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g. oznaczenie pionowe i poziome dróg oraz zabezpieczenie ruchu drogowego.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>2. Wykonanie chodników w technologii z kostki Pol-bruk w obrzeżach na podbudowie piaskowej i gruzu betonowego na warstwie cementowo – piaskowej w miejscach szczególnie niebezpiecznych, wokół skrzyżowań oraz skupiskach zabudowy jednorodzinnej.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 Odwodnienie jezdni z wód opadowych i roztopowych zaprojektowano poprzez nadanie odpowiednich spadków podłużnych i poprzecznych, do oznaczonych rowów.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Inwestor wykluczył możliwość zastosowania wariantów innych niż proponowany. Pozostawienie stanu istniejącego to: zły stan techniczny, brak nawierzchni asfaltowej, liczne koleiny, nierówności, zastoiska wodne, skrzyżowania dróg powiatowych i gminnych o nieprawidłowych rozwiązaniach konstrukcyjnych, spowalniających ruch, stanowiących niebezpieczeństwo dla użytkowników dróg ze względu na ograniczone rozmiary i rozwiązania komunikacyjne. Wariant zerowy w zakresie rozwiązań odwodnieniowych spowoduje odprowadzenie wód opadowych do istniejących, zanikających rowów przydrożnych i na przyległe tereny zielone.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W związku z powyższym Wnioskodawca uznał zasadność wykonania zadania w omawianym wcześniej zakresie.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W czasie realizacji zostanie wykorzystywany sprzęt ciężki oraz środki transportu, z czym wiąże się zapylenie oraz emisja spalin do środowiska. Wykonawca zostanie zobowiązany do włączenia silników spalinowych podczas dłuższych postojów samochodów, czy sprzętu. Maszyny używane do prac ziemnych i montażowych będą sprawne, bez wycieków paliwa i olejów. Właściwa organizacja pracy oraz odpowiedni sprzęt i reżim technologiczny wyeliminują potencjalne zagrożenia. Ponadto, może wystąpić okresowo oddziaływanie wibracyjne związaną z pracą maszyn i urządzeń budowlanych, wszystkie pracy prowadzone będą w porze dziennej, tj. w godzinach od 6:00 do 22:00, a uciążliwości te będą miały charakter okresowy i ustąpią z chwilą zamknięcia placu budowy. 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Powstające na etapie realizacji zamierzenia odpady planuje się gromadzić w wydzielonym miejscu, odpowiednio zabezpieczonym, a następnie wywozić i </w:t>
      </w: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lastRenderedPageBreak/>
        <w:t>zagospodarować zgodnie z ustawą z dnia 10 Grudnia 2012r. o odpadach (Dz. U. z 2013r., poz. 21 ze zam.), przez specjalistyczne firmy. Przetwarzanie odpadów zawierających asfalt będzie odbywać się wyłącznie w instalacjach wyłącznie do tego przeznaczonych.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Inwestycja nie jest całkowicie nowym zamierzeniem i nie spowoduje wzrostu natężenia ruchu pojazdów, zwiększenia ich prędkości lub udziału pojazdów ciężkich w potoku ruchu. Przedsięwzięcie należy traktować jako dostosowanie do obecnych wymogów.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W związku z charakterem planowanego zamierzenia, przy zastosowaniu zaproponowanych w karcie informacyjnej rozwiań mających na celu ochronę środowiska, nie przewiduje się wpływu czynności realizacyjnych na zwiększanie zanieczyszczenia wód powierzchniowych i podziemnych oraz gleby. Wzmocnienie konstrukcji zwiększy płynność ruchu, w związku z czym genialnie zmniejszy się poziom hałasu, nastąpi również poprawa bezpieczeństwa komunikacyjnego. 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Inwestycja zlokalizowana jest w obszarze dorzecza Wisły, dla którego opracowano Plan gospodarowania wodami na obszarze dorzecza Wisły, przyjęty Uchwałą Rady Ministrów z dnia 22 lutego 2011r. (M.P. z dnia 21 czerwca 2011r., Nr.49, poz. 549). Z uwagi na rodzaj, zakres i lokalizację przedsięwzięcia stwierdza się, że przy  zastosowani rozwiązań opisanych w karcie informacyjnej, jego realizacja i eksploatacji nie wpływa na ryzyko nieosiągnięcia celów środowiskowych zawartych w ww. dokumencie. 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Zamierzenie zaprojektowano poza obszarami chronionymi myśli ustawy z dnia 16 kwietnia 2004r. O ochronie przyrody (Dz. U. z 2013r., poz. 627, ze am.), w tym poza wyznaczonymi, mającymi znaczenie dla Wspólnoty i projektowanymi przekazanymi do Komisji Europejskimi obszarami Natura 2000.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Realizacja zadania wymaga wycinki 5 sztuk drzew różnych gatunków, w których nie stwierdzono występowania dziupli oraz próchnowisk. Nie zaobserwowano również gatunków chronionych roślin i zwierząt w drzewostanie przeznaczonym do uschnięcia. Wycinka nastąpi poza okresem lęgowym ptaków, trwającym od 15 marca do 15 sierpnia. 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W ramach działań zastępczych Inwestor planuje wykonanie nasadzeń w ilości 40 sztuk dębów.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Ze względu na dotychczasowy sposób użytkowania terenu objętego planowaną inwestycją oraz skalę i zasięg, nie przewiduje się, aby prace te, wiązały się ze znacząco negatywnym oddziaływaniem na środowisko w zakresie ochrony przyrody, a tym samym nie wymaga wykonania raportu o oddziaływaniu przedsięwzięcia na środowisko w odniesieniu do ochrony przyrody i obszarów Natura 2000.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W rejonie projektowanego zadanie nie występują obszary wybrzeży, górskie, strefy ujęć wód i obszary ochronne zbiorników wód środowiskowych, obszary, na których standardy jakości zostały przekroczone, o krajobrazie mającym znaczenie historyczne, kulturowe lub archeologiczne, o znacznej gęstości zaludnienia, jak również obszary ochrony uzdrowiskowej.</w:t>
      </w:r>
      <w:r w:rsidR="00F30CEB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="00F30CEB" w:rsidRPr="00F30CEB">
        <w:rPr>
          <w:rFonts w:ascii="Times New Roman" w:eastAsia="Times New Roman" w:hAnsi="Times New Roman" w:cs="Times New Roman"/>
          <w:sz w:val="25"/>
          <w:szCs w:val="25"/>
          <w:lang w:eastAsia="pl-PL"/>
        </w:rPr>
        <w:t>Gęstość zaludnienia w gminie Łubianka wg. GUS z 2013 r. wynosi 77 os.  na km2.</w:t>
      </w:r>
      <w:bookmarkStart w:id="0" w:name="_GoBack"/>
      <w:bookmarkEnd w:id="0"/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Planowana inwestycja nie będzie stwarzać zagrożenia występowania poważnej awarii w rozumieniu przepisu art. 248 ust. 1 ustawy z dnia 27 kwietnia 2001r. Prawo ochrony środowiska (Dz. U. Z 2013r., poz. 1232 ze zm.). Ustalono, że na etapie realizacji i eksploatacji nie będą stosowane substancje oraz technologie, które w myśl rozporządzenia Ministra Gospodarki z dnia 10 października 2013r. w sprawie rodzajów i ilości substancji niebezpiecznych, których znajdowanie się w zakładzie decyduje o zaliczeniu go do zakładu o zwiększonym ryzyku albo zakładu o dużym ryzyku wystąpienia poważnej awarii przemysłowej (Dz. U. z 2013r., poz 1479), stwarzałyby ww ryzyko.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lastRenderedPageBreak/>
        <w:tab/>
        <w:t>Zadanie powiązane jest funkcjonalnie z istniejącym układem drogowym. Mając na względzie jego skalę, nie przewiduje się wystąpienia znaczącego skumulowanego oddziaływania. Należy jednak pamiętać, że przedmiotowy teren usytuowany jest w pobliżu zabudowy mieszkaniowej i działek przeznaczonych pod taką zabudowę, nie sposób więc przewidzieć wszystkich planowanych zamierzeń na danym obszarze. Analizując ryzyko wystąpienia znaczącego skumulowanego oddziaływania na etapie budowy stwierdzono, że w przypadku ewentualnej równoczesnej realizacji kilku inwestycji na omawianym terenie, wzajemnie interakcje mogą zachodzić. W razie nakładania się harmonogramów prac pomiędzy przebudową dróg a innymi realizowanymi przedsięwzięciami spodziewać się należy kumulacji oddziaływania w zakresie emisji gazów do powietrza i hałasu. Zwiększy się generowanie zanieczyszczeń do powietrza w wyniku pracy maszyn w jednakowym czasie.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>W takim przypadku należy tak ułożyć harmonogram prac, aby z jednej strony uwzględnić technologię robót, z drugiej zaś ograniczyć kumulację uciążliwych oddziaływań.</w:t>
      </w:r>
    </w:p>
    <w:p w:rsidR="00B54672" w:rsidRPr="00204EB6" w:rsidRDefault="00B54672" w:rsidP="00B54672">
      <w:pPr>
        <w:pStyle w:val="Bezodstpw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204EB6">
        <w:rPr>
          <w:rFonts w:ascii="Times New Roman" w:eastAsia="Times New Roman" w:hAnsi="Times New Roman" w:cs="Times New Roman"/>
          <w:sz w:val="25"/>
          <w:szCs w:val="25"/>
          <w:lang w:eastAsia="pl-PL"/>
        </w:rPr>
        <w:tab/>
        <w:t xml:space="preserve">Zamierzenie, ze względu na swój lokalny zasięg, nie wiąże się z oddziaływaniem transgranicznym. </w:t>
      </w:r>
    </w:p>
    <w:p w:rsidR="00C57ED9" w:rsidRDefault="0050365E" w:rsidP="00B54672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1152AF">
        <w:rPr>
          <w:rFonts w:ascii="Times New Roman" w:hAnsi="Times New Roman" w:cs="Times New Roman"/>
          <w:sz w:val="25"/>
          <w:szCs w:val="25"/>
        </w:rPr>
        <w:t>W związku z powyższym, biorąc pod uwagę lokalizację, zakres i planowany sposób realizacji i eksploatacji inwestycji ,w oparciu o art. 63 ww. ustawy z dnia 3 października 2008 r. o udostępnianiu informacji o środowisku i jego ochronie, udziale społeczeństwa w ochronie środowiska oraz o ocenach oddziaływania na środowisko, tut. Organ nie stwierdził potrzeby przeprowadzenia dla przedmiotowego przedsięwzięcia oceny oddziaływania na środowisko, a tym samym sporządzenia raportu o oddziaływaniu na środowisko.</w:t>
      </w:r>
    </w:p>
    <w:p w:rsidR="00C57ED9" w:rsidRPr="000A0A05" w:rsidRDefault="00C57ED9" w:rsidP="00C57ED9">
      <w:pPr>
        <w:spacing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0A0A05">
        <w:rPr>
          <w:rFonts w:ascii="Times New Roman" w:hAnsi="Times New Roman" w:cs="Times New Roman"/>
          <w:sz w:val="25"/>
          <w:szCs w:val="25"/>
        </w:rPr>
        <w:tab/>
      </w:r>
      <w:r w:rsidRPr="000A0A05">
        <w:rPr>
          <w:rFonts w:ascii="Times New Roman" w:eastAsia="Times New Roman" w:hAnsi="Times New Roman" w:cs="Times New Roman"/>
          <w:sz w:val="25"/>
          <w:szCs w:val="25"/>
          <w:lang w:eastAsia="pl-PL"/>
        </w:rPr>
        <w:t>Mając powyższe  na uwadze postanowiono jak w sentencji. </w:t>
      </w:r>
    </w:p>
    <w:p w:rsidR="005634A1" w:rsidRPr="005E4B55" w:rsidRDefault="005634A1" w:rsidP="005E4B55">
      <w:pPr>
        <w:spacing w:before="100" w:beforeAutospacing="1" w:after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5E4B5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POUCZENIE</w:t>
      </w:r>
    </w:p>
    <w:p w:rsidR="00A54F3B" w:rsidRPr="005E4B55" w:rsidRDefault="00A54F3B" w:rsidP="005E4B55">
      <w:pPr>
        <w:rPr>
          <w:rFonts w:ascii="Times New Roman" w:hAnsi="Times New Roman" w:cs="Times New Roman"/>
          <w:sz w:val="26"/>
          <w:szCs w:val="26"/>
        </w:rPr>
      </w:pPr>
      <w:r w:rsidRPr="005E4B55">
        <w:rPr>
          <w:rFonts w:ascii="Times New Roman" w:hAnsi="Times New Roman" w:cs="Times New Roman"/>
          <w:sz w:val="26"/>
          <w:szCs w:val="26"/>
        </w:rPr>
        <w:tab/>
        <w:t>Od niniejszej decyzji służy stronom odwołanie do Samorządowego Kolegium Odwoławczego w Toruniu za pośrednictwem Wójta Gminy Łubianka w terminie 14 dni od dnia doręczenia decyzji.</w:t>
      </w:r>
    </w:p>
    <w:p w:rsidR="00A54F3B" w:rsidRPr="005E4B55" w:rsidRDefault="00671756" w:rsidP="005E4B55">
      <w:pPr>
        <w:rPr>
          <w:rFonts w:ascii="Times New Roman" w:hAnsi="Times New Roman" w:cs="Times New Roman"/>
          <w:sz w:val="26"/>
          <w:szCs w:val="26"/>
        </w:rPr>
      </w:pPr>
      <w:r w:rsidRPr="005E4B55">
        <w:rPr>
          <w:rFonts w:ascii="Times New Roman" w:hAnsi="Times New Roman" w:cs="Times New Roman"/>
          <w:sz w:val="26"/>
          <w:szCs w:val="26"/>
        </w:rPr>
        <w:t>Załącznik</w:t>
      </w:r>
      <w:r w:rsidR="006C262D" w:rsidRPr="005E4B55">
        <w:rPr>
          <w:rFonts w:ascii="Times New Roman" w:hAnsi="Times New Roman" w:cs="Times New Roman"/>
          <w:sz w:val="26"/>
          <w:szCs w:val="26"/>
        </w:rPr>
        <w:t xml:space="preserve"> nr 1</w:t>
      </w:r>
      <w:r w:rsidR="00A54F3B" w:rsidRPr="005E4B55">
        <w:rPr>
          <w:rFonts w:ascii="Times New Roman" w:hAnsi="Times New Roman" w:cs="Times New Roman"/>
          <w:sz w:val="26"/>
          <w:szCs w:val="26"/>
        </w:rPr>
        <w:t>:</w:t>
      </w:r>
    </w:p>
    <w:p w:rsidR="00A54F3B" w:rsidRDefault="00A54F3B" w:rsidP="005E4B55">
      <w:pPr>
        <w:rPr>
          <w:rFonts w:ascii="Times New Roman" w:hAnsi="Times New Roman" w:cs="Times New Roman"/>
          <w:sz w:val="26"/>
          <w:szCs w:val="26"/>
        </w:rPr>
      </w:pPr>
      <w:r w:rsidRPr="005E4B55">
        <w:rPr>
          <w:rFonts w:ascii="Times New Roman" w:hAnsi="Times New Roman" w:cs="Times New Roman"/>
          <w:sz w:val="26"/>
          <w:szCs w:val="26"/>
        </w:rPr>
        <w:t>- Charakterystyka planowanego przedsięwzięcia zgodnie z art. 82 ust. 3 ustawy ooś</w:t>
      </w:r>
    </w:p>
    <w:p w:rsidR="00B54672" w:rsidRDefault="00C57ED9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  <w:r w:rsidRPr="00C57ED9">
        <w:rPr>
          <w:rFonts w:ascii="Times New Roman" w:hAnsi="Times New Roman" w:cs="Times New Roman"/>
          <w:b/>
          <w:sz w:val="14"/>
          <w:szCs w:val="25"/>
        </w:rPr>
        <w:t xml:space="preserve"> </w:t>
      </w: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25"/>
        </w:rPr>
      </w:pPr>
    </w:p>
    <w:p w:rsidR="00B54672" w:rsidRPr="00197A8F" w:rsidRDefault="00B54672" w:rsidP="00B5467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 xml:space="preserve">Otrzymują: </w:t>
      </w:r>
    </w:p>
    <w:p w:rsidR="00B54672" w:rsidRPr="00197A8F" w:rsidRDefault="00B54672" w:rsidP="00B54672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eastAsia="Calibri" w:hAnsi="Times New Roman" w:cs="Times New Roman"/>
          <w:color w:val="000000"/>
          <w:sz w:val="14"/>
          <w:szCs w:val="14"/>
        </w:rPr>
        <w:t>Gmina Łubianka, Aleja Jana Pawła II nr 8, 87-152 Łubianka</w:t>
      </w:r>
    </w:p>
    <w:p w:rsidR="00B54672" w:rsidRPr="00197A8F" w:rsidRDefault="00B54672" w:rsidP="00B54672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 xml:space="preserve">a/a, BIP, wg. Załącznika, tablice ogłoszeń: UG Łubianka i Łysomice, sołectwa Pigża i Różankowo </w:t>
      </w:r>
    </w:p>
    <w:p w:rsidR="00B54672" w:rsidRPr="00197A8F" w:rsidRDefault="00B54672" w:rsidP="00B5467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</w:p>
    <w:p w:rsidR="00B54672" w:rsidRPr="00197A8F" w:rsidRDefault="00B54672" w:rsidP="00B5467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14"/>
        </w:rPr>
      </w:pPr>
      <w:r w:rsidRPr="00197A8F">
        <w:rPr>
          <w:rFonts w:ascii="Times New Roman" w:hAnsi="Times New Roman" w:cs="Times New Roman"/>
          <w:sz w:val="14"/>
          <w:szCs w:val="14"/>
        </w:rPr>
        <w:t>Do wiadomości:</w:t>
      </w:r>
    </w:p>
    <w:p w:rsidR="00B54672" w:rsidRPr="00197A8F" w:rsidRDefault="00B54672" w:rsidP="00B54672">
      <w:pPr>
        <w:numPr>
          <w:ilvl w:val="0"/>
          <w:numId w:val="5"/>
        </w:numPr>
        <w:spacing w:after="80" w:line="240" w:lineRule="auto"/>
        <w:contextualSpacing/>
        <w:rPr>
          <w:rFonts w:ascii="Times New Roman" w:hAnsi="Times New Roman" w:cs="Times New Roman"/>
          <w:color w:val="000000"/>
          <w:sz w:val="14"/>
          <w:szCs w:val="14"/>
        </w:rPr>
      </w:pPr>
      <w:r w:rsidRPr="00197A8F">
        <w:rPr>
          <w:rFonts w:ascii="Times New Roman" w:hAnsi="Times New Roman" w:cs="Times New Roman"/>
          <w:color w:val="000000"/>
          <w:sz w:val="14"/>
          <w:szCs w:val="14"/>
        </w:rPr>
        <w:t>Regionalny Dyrektor Ochrony Środowiska, ul. Dworcowa 81, 85-059 Bydgoszcz</w:t>
      </w:r>
    </w:p>
    <w:p w:rsidR="00C57ED9" w:rsidRPr="00B54672" w:rsidRDefault="00B54672" w:rsidP="008F2CD5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before="100" w:beforeAutospacing="1" w:after="0" w:afterAutospacing="1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B54672">
        <w:rPr>
          <w:rFonts w:ascii="Times New Roman" w:hAnsi="Times New Roman" w:cs="Times New Roman"/>
          <w:sz w:val="14"/>
          <w:szCs w:val="14"/>
        </w:rPr>
        <w:t xml:space="preserve">Państwowy Powiatowy Inspektor  Sanitarny, ul. Szosa Bydgoska 1, 87-100 Toruń </w:t>
      </w:r>
    </w:p>
    <w:sectPr w:rsidR="00C57ED9" w:rsidRPr="00B54672" w:rsidSect="00B54672">
      <w:footerReference w:type="default" r:id="rId7"/>
      <w:pgSz w:w="11906" w:h="16838"/>
      <w:pgMar w:top="1304" w:right="1247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E49" w:rsidRDefault="00917E49" w:rsidP="00037ED6">
      <w:pPr>
        <w:spacing w:after="0" w:line="240" w:lineRule="auto"/>
      </w:pPr>
      <w:r>
        <w:separator/>
      </w:r>
    </w:p>
  </w:endnote>
  <w:endnote w:type="continuationSeparator" w:id="0">
    <w:p w:rsidR="00917E49" w:rsidRDefault="00917E49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0CEB">
          <w:rPr>
            <w:noProof/>
          </w:rPr>
          <w:t>1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E49" w:rsidRDefault="00917E49" w:rsidP="00037ED6">
      <w:pPr>
        <w:spacing w:after="0" w:line="240" w:lineRule="auto"/>
      </w:pPr>
      <w:r>
        <w:separator/>
      </w:r>
    </w:p>
  </w:footnote>
  <w:footnote w:type="continuationSeparator" w:id="0">
    <w:p w:rsidR="00917E49" w:rsidRDefault="00917E49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B73B2"/>
    <w:multiLevelType w:val="hybridMultilevel"/>
    <w:tmpl w:val="06A2AFB2"/>
    <w:lvl w:ilvl="0" w:tplc="EB5A76B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11D39"/>
    <w:rsid w:val="00034B66"/>
    <w:rsid w:val="00037ED6"/>
    <w:rsid w:val="00085326"/>
    <w:rsid w:val="00092833"/>
    <w:rsid w:val="000B64E9"/>
    <w:rsid w:val="00105D97"/>
    <w:rsid w:val="00117CAB"/>
    <w:rsid w:val="001347AE"/>
    <w:rsid w:val="001437B7"/>
    <w:rsid w:val="00170597"/>
    <w:rsid w:val="0020651C"/>
    <w:rsid w:val="00206F93"/>
    <w:rsid w:val="0021798C"/>
    <w:rsid w:val="00217F08"/>
    <w:rsid w:val="0024009F"/>
    <w:rsid w:val="002E4B58"/>
    <w:rsid w:val="003403EF"/>
    <w:rsid w:val="0035228C"/>
    <w:rsid w:val="003710C3"/>
    <w:rsid w:val="00402129"/>
    <w:rsid w:val="00404A82"/>
    <w:rsid w:val="00407AB4"/>
    <w:rsid w:val="0043705D"/>
    <w:rsid w:val="004930C6"/>
    <w:rsid w:val="004A64A1"/>
    <w:rsid w:val="004C70D5"/>
    <w:rsid w:val="0050365E"/>
    <w:rsid w:val="005634A1"/>
    <w:rsid w:val="00565087"/>
    <w:rsid w:val="00585667"/>
    <w:rsid w:val="00591610"/>
    <w:rsid w:val="005C1866"/>
    <w:rsid w:val="005C22AE"/>
    <w:rsid w:val="005D10C9"/>
    <w:rsid w:val="005E4B55"/>
    <w:rsid w:val="006263C5"/>
    <w:rsid w:val="00671756"/>
    <w:rsid w:val="006865CA"/>
    <w:rsid w:val="006913AB"/>
    <w:rsid w:val="006C262D"/>
    <w:rsid w:val="006D61DA"/>
    <w:rsid w:val="00706283"/>
    <w:rsid w:val="00730038"/>
    <w:rsid w:val="007574EB"/>
    <w:rsid w:val="00784C3B"/>
    <w:rsid w:val="007D1248"/>
    <w:rsid w:val="007F6DA1"/>
    <w:rsid w:val="00802886"/>
    <w:rsid w:val="00823A34"/>
    <w:rsid w:val="008369A3"/>
    <w:rsid w:val="008457B5"/>
    <w:rsid w:val="00900C62"/>
    <w:rsid w:val="00900DE4"/>
    <w:rsid w:val="00917E49"/>
    <w:rsid w:val="00930E11"/>
    <w:rsid w:val="00935BAF"/>
    <w:rsid w:val="00945F6A"/>
    <w:rsid w:val="00945F70"/>
    <w:rsid w:val="00952880"/>
    <w:rsid w:val="00986DC6"/>
    <w:rsid w:val="009D07DD"/>
    <w:rsid w:val="00A54F3B"/>
    <w:rsid w:val="00A5649C"/>
    <w:rsid w:val="00AB7602"/>
    <w:rsid w:val="00B2399B"/>
    <w:rsid w:val="00B34F07"/>
    <w:rsid w:val="00B35C36"/>
    <w:rsid w:val="00B46D9F"/>
    <w:rsid w:val="00B54672"/>
    <w:rsid w:val="00B7568A"/>
    <w:rsid w:val="00B8466A"/>
    <w:rsid w:val="00BC2E8A"/>
    <w:rsid w:val="00C10229"/>
    <w:rsid w:val="00C20A97"/>
    <w:rsid w:val="00C57EC2"/>
    <w:rsid w:val="00C57ED9"/>
    <w:rsid w:val="00C87C21"/>
    <w:rsid w:val="00C92BFE"/>
    <w:rsid w:val="00CA0B29"/>
    <w:rsid w:val="00CB517F"/>
    <w:rsid w:val="00CE4409"/>
    <w:rsid w:val="00D01766"/>
    <w:rsid w:val="00D75A63"/>
    <w:rsid w:val="00DC63AF"/>
    <w:rsid w:val="00DE1750"/>
    <w:rsid w:val="00E12DDC"/>
    <w:rsid w:val="00E15C0C"/>
    <w:rsid w:val="00E21E07"/>
    <w:rsid w:val="00E26FF4"/>
    <w:rsid w:val="00E5741A"/>
    <w:rsid w:val="00E73107"/>
    <w:rsid w:val="00E8759A"/>
    <w:rsid w:val="00E92F11"/>
    <w:rsid w:val="00EC5C41"/>
    <w:rsid w:val="00ED3629"/>
    <w:rsid w:val="00EE00F4"/>
    <w:rsid w:val="00EE0B90"/>
    <w:rsid w:val="00F030A8"/>
    <w:rsid w:val="00F30CEB"/>
    <w:rsid w:val="00F47439"/>
    <w:rsid w:val="00F83D1F"/>
    <w:rsid w:val="00F91744"/>
    <w:rsid w:val="00FC7B5D"/>
    <w:rsid w:val="00FE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E57FF-C4A6-48B2-B104-C8AE1DB1B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5</Pages>
  <Words>2246</Words>
  <Characters>13481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Bartosz Lewandowski</cp:lastModifiedBy>
  <cp:revision>69</cp:revision>
  <cp:lastPrinted>2014-10-23T11:52:00Z</cp:lastPrinted>
  <dcterms:created xsi:type="dcterms:W3CDTF">2013-08-23T05:18:00Z</dcterms:created>
  <dcterms:modified xsi:type="dcterms:W3CDTF">2015-10-19T09:12:00Z</dcterms:modified>
</cp:coreProperties>
</file>