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A82" w:rsidRPr="001152AF" w:rsidRDefault="00404A82" w:rsidP="000A0A05">
      <w:pPr>
        <w:pStyle w:val="Bezodstpw"/>
        <w:ind w:firstLine="4820"/>
        <w:jc w:val="right"/>
        <w:rPr>
          <w:rFonts w:ascii="Times New Roman" w:hAnsi="Times New Roman" w:cs="Times New Roman"/>
          <w:sz w:val="25"/>
          <w:szCs w:val="25"/>
        </w:rPr>
      </w:pPr>
      <w:r w:rsidRPr="001152AF">
        <w:rPr>
          <w:rFonts w:ascii="Times New Roman" w:hAnsi="Times New Roman" w:cs="Times New Roman"/>
          <w:sz w:val="25"/>
          <w:szCs w:val="25"/>
        </w:rPr>
        <w:t xml:space="preserve">Łubianka, dnia </w:t>
      </w:r>
      <w:r w:rsidR="00E505D5" w:rsidRPr="001152AF">
        <w:rPr>
          <w:rFonts w:ascii="Times New Roman" w:hAnsi="Times New Roman" w:cs="Times New Roman"/>
          <w:sz w:val="25"/>
          <w:szCs w:val="25"/>
        </w:rPr>
        <w:t>30.0</w:t>
      </w:r>
      <w:r w:rsidR="00A615A3" w:rsidRPr="001152AF">
        <w:rPr>
          <w:rFonts w:ascii="Times New Roman" w:hAnsi="Times New Roman" w:cs="Times New Roman"/>
          <w:sz w:val="25"/>
          <w:szCs w:val="25"/>
        </w:rPr>
        <w:t>6</w:t>
      </w:r>
      <w:r w:rsidR="00E505D5" w:rsidRPr="001152AF">
        <w:rPr>
          <w:rFonts w:ascii="Times New Roman" w:hAnsi="Times New Roman" w:cs="Times New Roman"/>
          <w:sz w:val="25"/>
          <w:szCs w:val="25"/>
        </w:rPr>
        <w:t>.2015</w:t>
      </w:r>
      <w:r w:rsidRPr="001152AF">
        <w:rPr>
          <w:rFonts w:ascii="Times New Roman" w:hAnsi="Times New Roman" w:cs="Times New Roman"/>
          <w:sz w:val="25"/>
          <w:szCs w:val="25"/>
        </w:rPr>
        <w:t xml:space="preserve"> r.</w:t>
      </w:r>
    </w:p>
    <w:p w:rsidR="00404A82" w:rsidRPr="001152AF" w:rsidRDefault="00404A82" w:rsidP="000A0A05">
      <w:pPr>
        <w:pStyle w:val="Bezodstpw"/>
        <w:ind w:firstLine="4820"/>
        <w:jc w:val="both"/>
        <w:rPr>
          <w:rFonts w:ascii="Times New Roman" w:hAnsi="Times New Roman" w:cs="Times New Roman"/>
          <w:sz w:val="25"/>
          <w:szCs w:val="25"/>
        </w:rPr>
      </w:pPr>
    </w:p>
    <w:p w:rsidR="00841A50" w:rsidRPr="001152AF" w:rsidRDefault="00841A50" w:rsidP="000A0A05">
      <w:pPr>
        <w:spacing w:line="240" w:lineRule="auto"/>
        <w:rPr>
          <w:rFonts w:ascii="Times New Roman" w:eastAsia="Calibri" w:hAnsi="Times New Roman" w:cs="Times New Roman"/>
          <w:sz w:val="25"/>
          <w:szCs w:val="25"/>
        </w:rPr>
      </w:pPr>
    </w:p>
    <w:p w:rsidR="00904DE7" w:rsidRPr="001152AF" w:rsidRDefault="001543E1" w:rsidP="000A0A05">
      <w:pPr>
        <w:spacing w:line="240" w:lineRule="auto"/>
        <w:rPr>
          <w:rFonts w:ascii="Times New Roman" w:eastAsia="Calibri" w:hAnsi="Times New Roman" w:cs="Times New Roman"/>
          <w:sz w:val="25"/>
          <w:szCs w:val="25"/>
        </w:rPr>
      </w:pPr>
      <w:r>
        <w:rPr>
          <w:rFonts w:ascii="Times New Roman" w:eastAsia="Calibri" w:hAnsi="Times New Roman" w:cs="Times New Roman"/>
          <w:sz w:val="25"/>
          <w:szCs w:val="25"/>
        </w:rPr>
        <w:t>ROŚ.6220.8</w:t>
      </w:r>
      <w:r w:rsidR="00904DE7" w:rsidRPr="001152AF">
        <w:rPr>
          <w:rFonts w:ascii="Times New Roman" w:eastAsia="Calibri" w:hAnsi="Times New Roman" w:cs="Times New Roman"/>
          <w:sz w:val="25"/>
          <w:szCs w:val="25"/>
        </w:rPr>
        <w:t>.2.2014</w:t>
      </w:r>
    </w:p>
    <w:p w:rsidR="00404A82" w:rsidRPr="001152AF" w:rsidRDefault="00404A82" w:rsidP="000A0A05">
      <w:pPr>
        <w:spacing w:line="24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1152AF">
        <w:rPr>
          <w:rFonts w:ascii="Times New Roman" w:hAnsi="Times New Roman" w:cs="Times New Roman"/>
          <w:b/>
          <w:sz w:val="25"/>
          <w:szCs w:val="25"/>
        </w:rPr>
        <w:t>POSTANOWIENIE</w:t>
      </w:r>
    </w:p>
    <w:p w:rsidR="00904DE7" w:rsidRPr="001152AF" w:rsidRDefault="00404A82" w:rsidP="000A0A05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          </w:t>
      </w:r>
      <w:r w:rsidRPr="001152AF">
        <w:rPr>
          <w:rFonts w:ascii="Times New Roman" w:hAnsi="Times New Roman" w:cs="Times New Roman"/>
          <w:sz w:val="25"/>
          <w:szCs w:val="25"/>
        </w:rPr>
        <w:t>Na podstawie art. 123 ustawy z dnia 14 czerwca 1960 r. Kodeks postę</w:t>
      </w:r>
      <w:r w:rsidR="001E3172" w:rsidRPr="001152AF">
        <w:rPr>
          <w:rFonts w:ascii="Times New Roman" w:hAnsi="Times New Roman" w:cs="Times New Roman"/>
          <w:sz w:val="25"/>
          <w:szCs w:val="25"/>
        </w:rPr>
        <w:t>powania administracyjnego (</w:t>
      </w:r>
      <w:r w:rsidRPr="001152AF">
        <w:rPr>
          <w:rFonts w:ascii="Times New Roman" w:hAnsi="Times New Roman" w:cs="Times New Roman"/>
          <w:sz w:val="25"/>
          <w:szCs w:val="25"/>
        </w:rPr>
        <w:t>Dz. U. z 2013r. poz. 267</w:t>
      </w:r>
      <w:r w:rsidR="001E3172" w:rsidRPr="001152AF">
        <w:rPr>
          <w:rFonts w:ascii="Times New Roman" w:hAnsi="Times New Roman" w:cs="Times New Roman"/>
          <w:sz w:val="25"/>
          <w:szCs w:val="25"/>
        </w:rPr>
        <w:t xml:space="preserve"> j.t.</w:t>
      </w:r>
      <w:r w:rsidRPr="001152AF">
        <w:rPr>
          <w:rFonts w:ascii="Times New Roman" w:hAnsi="Times New Roman" w:cs="Times New Roman"/>
          <w:sz w:val="25"/>
          <w:szCs w:val="25"/>
        </w:rPr>
        <w:t>) w związku z art. 63 ust 2  ustawy z dnia 3 października 2008r. o udostępnianiu informacji o środowisku i jego ochronie, udziale społeczeństwa w ochronie środowiska oraz o ocenach oddziaływa</w:t>
      </w:r>
      <w:r w:rsidR="00DB19E1" w:rsidRPr="001152AF">
        <w:rPr>
          <w:rFonts w:ascii="Times New Roman" w:hAnsi="Times New Roman" w:cs="Times New Roman"/>
          <w:sz w:val="25"/>
          <w:szCs w:val="25"/>
        </w:rPr>
        <w:t xml:space="preserve">nia na środowisko (Dz. U. z 2013r. </w:t>
      </w:r>
      <w:r w:rsidRPr="001152AF">
        <w:rPr>
          <w:rFonts w:ascii="Times New Roman" w:hAnsi="Times New Roman" w:cs="Times New Roman"/>
          <w:sz w:val="25"/>
          <w:szCs w:val="25"/>
        </w:rPr>
        <w:t xml:space="preserve">poz. </w:t>
      </w:r>
      <w:r w:rsidR="00DB19E1" w:rsidRPr="001152AF">
        <w:rPr>
          <w:rFonts w:ascii="Times New Roman" w:hAnsi="Times New Roman" w:cs="Times New Roman"/>
          <w:sz w:val="25"/>
          <w:szCs w:val="25"/>
        </w:rPr>
        <w:t>1235</w:t>
      </w:r>
      <w:r w:rsidR="00591610" w:rsidRPr="001152AF">
        <w:rPr>
          <w:rFonts w:ascii="Times New Roman" w:hAnsi="Times New Roman" w:cs="Times New Roman"/>
          <w:sz w:val="25"/>
          <w:szCs w:val="25"/>
        </w:rPr>
        <w:t xml:space="preserve"> ze</w:t>
      </w:r>
      <w:r w:rsidR="00F43CA4" w:rsidRPr="001152AF">
        <w:rPr>
          <w:rFonts w:ascii="Times New Roman" w:hAnsi="Times New Roman" w:cs="Times New Roman"/>
          <w:sz w:val="25"/>
          <w:szCs w:val="25"/>
        </w:rPr>
        <w:t xml:space="preserve"> zm.), a także </w:t>
      </w:r>
      <w:r w:rsidR="001543E1">
        <w:rPr>
          <w:rFonts w:ascii="Times New Roman" w:hAnsi="Times New Roman" w:cs="Times New Roman"/>
          <w:sz w:val="25"/>
          <w:szCs w:val="25"/>
        </w:rPr>
        <w:t>w § 3  ust. 1 pkt 60</w:t>
      </w:r>
      <w:r w:rsidR="0078137E" w:rsidRPr="0078137E">
        <w:rPr>
          <w:rFonts w:ascii="Times New Roman" w:hAnsi="Times New Roman" w:cs="Times New Roman"/>
          <w:sz w:val="25"/>
          <w:szCs w:val="25"/>
        </w:rPr>
        <w:t xml:space="preserve"> </w:t>
      </w:r>
      <w:r w:rsidRPr="001152AF">
        <w:rPr>
          <w:rFonts w:ascii="Times New Roman" w:hAnsi="Times New Roman" w:cs="Times New Roman"/>
          <w:sz w:val="25"/>
          <w:szCs w:val="25"/>
        </w:rPr>
        <w:t>rozporządzenia Rady Ministrów z dnia 9 listopada 2010r. w sprawie przedsięwzięć mogących znacząco oddziaływać na środowisko (Dz. U. z 2010r. Nr 213 poz. 1397</w:t>
      </w:r>
      <w:r w:rsidR="00BF0512" w:rsidRPr="001152AF">
        <w:rPr>
          <w:rFonts w:ascii="Times New Roman" w:hAnsi="Times New Roman" w:cs="Times New Roman"/>
          <w:sz w:val="25"/>
          <w:szCs w:val="25"/>
        </w:rPr>
        <w:t xml:space="preserve"> ze zm.</w:t>
      </w:r>
      <w:r w:rsidRPr="001152AF">
        <w:rPr>
          <w:rFonts w:ascii="Times New Roman" w:hAnsi="Times New Roman" w:cs="Times New Roman"/>
          <w:sz w:val="25"/>
          <w:szCs w:val="25"/>
        </w:rPr>
        <w:t xml:space="preserve">), </w:t>
      </w:r>
      <w:r w:rsidR="00904DE7" w:rsidRPr="001152AF">
        <w:rPr>
          <w:rFonts w:ascii="Times New Roman" w:hAnsi="Times New Roman" w:cs="Times New Roman"/>
          <w:sz w:val="25"/>
          <w:szCs w:val="25"/>
        </w:rPr>
        <w:t>po rozpatrzeniu wniosku</w:t>
      </w:r>
      <w:r w:rsidR="00904DE7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z dnia </w:t>
      </w:r>
      <w:r w:rsidR="001543E1">
        <w:rPr>
          <w:rFonts w:ascii="Times New Roman" w:eastAsia="Times New Roman" w:hAnsi="Times New Roman" w:cs="Times New Roman"/>
          <w:sz w:val="25"/>
          <w:szCs w:val="25"/>
          <w:lang w:eastAsia="pl-PL"/>
        </w:rPr>
        <w:t>24.07</w:t>
      </w:r>
      <w:r w:rsidR="00E505D5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.2014 r. </w:t>
      </w:r>
      <w:r w:rsidR="001543E1" w:rsidRPr="001543E1">
        <w:rPr>
          <w:rFonts w:ascii="Times New Roman" w:eastAsia="Times New Roman" w:hAnsi="Times New Roman" w:cs="Times New Roman"/>
          <w:sz w:val="25"/>
          <w:szCs w:val="25"/>
          <w:lang w:eastAsia="pl-PL"/>
        </w:rPr>
        <w:t>Gminy Łubianka, Aleja Jana Pawła II nr 8, 87-152 Łubianka</w:t>
      </w:r>
    </w:p>
    <w:p w:rsidR="00A615A3" w:rsidRDefault="00A615A3" w:rsidP="000A0A05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404A82" w:rsidRPr="001152AF" w:rsidRDefault="00404A82" w:rsidP="002A12A7">
      <w:pPr>
        <w:pStyle w:val="Bezodstpw"/>
        <w:jc w:val="center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stwierdzam brak potrzeby</w:t>
      </w:r>
    </w:p>
    <w:p w:rsidR="00404A82" w:rsidRPr="001152AF" w:rsidRDefault="00404A82" w:rsidP="002A12A7">
      <w:pPr>
        <w:pStyle w:val="Bezodstpw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przeprowadzenia oceny oddziaływania na środowisko</w:t>
      </w:r>
    </w:p>
    <w:p w:rsidR="00206C6D" w:rsidRPr="001152AF" w:rsidRDefault="00206C6D" w:rsidP="000A0A05">
      <w:pPr>
        <w:pStyle w:val="Bezodstpw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</w:pPr>
    </w:p>
    <w:p w:rsidR="00BB1D77" w:rsidRPr="001152AF" w:rsidRDefault="00BB1D77" w:rsidP="000A0A05">
      <w:pPr>
        <w:pStyle w:val="Bezodstpw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dla przedsięwzięcia pn. : </w:t>
      </w:r>
      <w:r w:rsidR="001543E1" w:rsidRPr="001543E1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 xml:space="preserve">„Przebudowie dróg gminnych nr: 100408C (ul. Prosta), 100414C (ul. Parkowa), 100423C (Aleja Kard. St. Wyszyńskiego), 100424C (ul. Migdałowa), 1004434C (ul. Wschodnia), 100435C (ul. Młodzieżowa)  i 100436C (ul. Poprzeczna) oraz dróg powiatowych Pigża – Brąchnowo – Chełmża nr 2018C (ul. Św. A. Boboli)  i Świerczynki – </w:t>
      </w:r>
      <w:proofErr w:type="spellStart"/>
      <w:r w:rsidR="001543E1" w:rsidRPr="001543E1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Kowróz</w:t>
      </w:r>
      <w:proofErr w:type="spellEnd"/>
      <w:r w:rsidR="001543E1" w:rsidRPr="001543E1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 xml:space="preserve"> – Ostaszewo nr 2021C (ul. Graniczna) w miejscowości Pigża  na łącznej długości ok. 6 km  położonych na działkach nr: 27 - dr, cz. 57/1, cz. 63, 64 - dr, cz. 68, cz. 206, cz. 58, cz. 69/2, cz. 69/1, cz. 59/1, cz. 59/2, cz. 207/2, cz. 207/6, cz. 207/3, 82 - dr, cz. 80/9, cz. 138/16, cz. 75, cz. 208, cz. 73/2, cz. 133, cz. 60/1, cz. 60/2, cz. 119, cz. 135/28, cz. 135/27, 121 - dr, cz.120/34, cz. 135/2, cz. 120/32, 25 - dr, cz.139, cz. 141, 140 - dr, 46 - dr, 52 - dr, cz. 142, 150 - dr, 88 - dr i 89 – dr”</w:t>
      </w:r>
    </w:p>
    <w:p w:rsidR="00904DE7" w:rsidRPr="001152AF" w:rsidRDefault="00904DE7" w:rsidP="000A0A05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AD635C" w:rsidRPr="001152AF" w:rsidRDefault="00404A82" w:rsidP="000A0A05">
      <w:pPr>
        <w:pStyle w:val="Bezodstpw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  UZASADNIENIE</w:t>
      </w:r>
    </w:p>
    <w:p w:rsidR="00206C6D" w:rsidRPr="001152AF" w:rsidRDefault="00206C6D" w:rsidP="000A0A05">
      <w:pPr>
        <w:pStyle w:val="Bezodstpw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</w:p>
    <w:p w:rsidR="009B5B7C" w:rsidRPr="001152AF" w:rsidRDefault="00AB7602" w:rsidP="000A0A05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</w:r>
      <w:r w:rsidR="00F030A8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Dnia </w:t>
      </w:r>
      <w:r w:rsidR="001543E1">
        <w:rPr>
          <w:rFonts w:ascii="Times New Roman" w:eastAsia="Times New Roman" w:hAnsi="Times New Roman" w:cs="Times New Roman"/>
          <w:sz w:val="25"/>
          <w:szCs w:val="25"/>
          <w:lang w:eastAsia="pl-PL"/>
        </w:rPr>
        <w:t>24.07</w:t>
      </w:r>
      <w:r w:rsidR="00A615A3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.2014 r.</w:t>
      </w:r>
      <w:r w:rsidR="00591610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A615A3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1543E1">
        <w:rPr>
          <w:rFonts w:ascii="Times New Roman" w:eastAsia="Times New Roman" w:hAnsi="Times New Roman" w:cs="Times New Roman"/>
          <w:sz w:val="25"/>
          <w:szCs w:val="25"/>
          <w:lang w:eastAsia="pl-PL"/>
        </w:rPr>
        <w:t>Wójt Gminy Łubianka</w:t>
      </w:r>
      <w:r w:rsidR="00A615A3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226CD4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zwrócił</w:t>
      </w:r>
      <w:r w:rsidR="00404A8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się z wnioskiem o wydanie decyzji o środowiskowych uwarunkowań zgody na realizację przedsięwzięcia pn.: </w:t>
      </w:r>
      <w:r w:rsidR="001543E1" w:rsidRPr="001543E1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„Przebudowie dróg gminnych nr: 100408C (ul. Prosta), 100414C (ul. Parkowa), 100423C (Aleja Kard. St. Wyszyńskiego), 100424C (ul. Migdałowa), 1004434C (ul. Wschodnia), 100435C (ul. Młodzieżowa)  i 100436C (ul. Poprzeczna) oraz dróg powiatowych Pigża – Brąchnowo – Chełmża nr 2018C (ul. Św. A. Boboli)  i Świerczynki – </w:t>
      </w:r>
      <w:proofErr w:type="spellStart"/>
      <w:r w:rsidR="001543E1" w:rsidRPr="001543E1">
        <w:rPr>
          <w:rFonts w:ascii="Times New Roman" w:eastAsia="Times New Roman" w:hAnsi="Times New Roman" w:cs="Times New Roman"/>
          <w:sz w:val="25"/>
          <w:szCs w:val="25"/>
          <w:lang w:eastAsia="pl-PL"/>
        </w:rPr>
        <w:t>Kowróz</w:t>
      </w:r>
      <w:proofErr w:type="spellEnd"/>
      <w:r w:rsidR="001543E1" w:rsidRPr="001543E1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– Ostaszewo nr 2021C (ul. Graniczna) w miejscowości Pigża  na łącznej długości ok. 6 km  położonych na działkach nr: 27 - dr, cz. 57/1, cz. 63, 64 - dr, cz. 68, cz. 206, cz. 58, cz. 69/2, cz. 69/1, cz. 59/1, cz. 59/2, cz. 207/2, cz. 207/6, cz. 207/3, 82 - dr, cz. 80/9, cz. 138/16, cz. 75, cz. 208, cz. 73/2, cz. 133, cz. 60/1, cz. 60/2, cz. 119, cz. 135/28, cz. 135/27, 121 - dr, cz.120/34, cz. 135/2, cz. 120/32, 25 - dr, cz.139, cz. 141, 140 - dr, 46 - dr, 52 - dr, cz. 142, 150 - dr, 88 - dr i 89 – dr”</w:t>
      </w:r>
    </w:p>
    <w:p w:rsidR="00404A82" w:rsidRPr="001152AF" w:rsidRDefault="00DE1750" w:rsidP="000A0A05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</w:r>
      <w:r w:rsidR="00404A8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Na podstawie art. 64 ust. 1 pkt. 1 i 2 ustawy z dnia 3 października 2008r. o udostępnianiu informacji o środowisku i jego ochronie, udziale społeczeństwa w ochronie</w:t>
      </w:r>
      <w:r w:rsidR="00AB760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404A8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środowiska</w:t>
      </w:r>
      <w:r w:rsidR="00AB760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oraz </w:t>
      </w:r>
      <w:r w:rsidR="00404A8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o ocenach oddziaływania na środowisko, Wójt Gminy Łubianka pismem znak </w:t>
      </w:r>
      <w:r w:rsidR="00A615A3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ROŚ.</w:t>
      </w:r>
      <w:r w:rsidR="001543E1">
        <w:rPr>
          <w:rFonts w:ascii="Times New Roman" w:eastAsia="Times New Roman" w:hAnsi="Times New Roman" w:cs="Times New Roman"/>
          <w:sz w:val="25"/>
          <w:szCs w:val="25"/>
          <w:lang w:eastAsia="pl-PL"/>
        </w:rPr>
        <w:t>6220.8.1.2014 z dnia 29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.</w:t>
      </w:r>
      <w:r w:rsidR="002C0FDB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0</w:t>
      </w:r>
      <w:r w:rsidR="001543E1">
        <w:rPr>
          <w:rFonts w:ascii="Times New Roman" w:eastAsia="Times New Roman" w:hAnsi="Times New Roman" w:cs="Times New Roman"/>
          <w:sz w:val="25"/>
          <w:szCs w:val="25"/>
          <w:lang w:eastAsia="pl-PL"/>
        </w:rPr>
        <w:t>7</w:t>
      </w:r>
      <w:r w:rsidR="00381D91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.2014</w:t>
      </w:r>
      <w:r w:rsidR="00404A8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r. wystąpił do Regionalnego Dyrektora </w:t>
      </w:r>
      <w:r w:rsidR="00404A8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lastRenderedPageBreak/>
        <w:t>Ochrony Środowiska w Bydgoszczy i Państwowego Powiatowego Inspektora Sanitarnego</w:t>
      </w:r>
      <w:r w:rsidR="00AB760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404A8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w Toruniu o wydanie opinii w sprawie obowiązku przeprowadzenia oceny oddziaływania na środowisko przedmiotowej inwestycji.                                           </w:t>
      </w:r>
      <w:r w:rsidR="00404A8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br/>
      </w:r>
      <w:r w:rsidR="00AB760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</w:r>
      <w:r w:rsidR="009B5B7C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Państwowy Powiatowy Inspektor Sanitarny w Toruniu </w:t>
      </w:r>
      <w:r w:rsidR="00735984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o</w:t>
      </w:r>
      <w:r w:rsidR="0018453B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pinią </w:t>
      </w:r>
      <w:r w:rsidR="00F210C1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(znak </w:t>
      </w:r>
      <w:r w:rsidR="001543E1">
        <w:rPr>
          <w:rFonts w:ascii="Times New Roman" w:eastAsia="Times New Roman" w:hAnsi="Times New Roman" w:cs="Times New Roman"/>
          <w:sz w:val="25"/>
          <w:szCs w:val="25"/>
          <w:lang w:eastAsia="pl-PL"/>
        </w:rPr>
        <w:t>N.NZ.40.2.4.7</w:t>
      </w:r>
      <w:r w:rsidR="0066033B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.2014</w:t>
      </w:r>
      <w:r w:rsidR="00466705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)</w:t>
      </w:r>
      <w:r w:rsidR="001543E1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z dnia 11.08.2014</w:t>
      </w:r>
      <w:r w:rsidR="00F210C1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404A8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r. uznał, że dla powyższego przedsięwzięcia nie ma konieczności przeprowadzenia oceny oddziaływania na środowisko. </w:t>
      </w:r>
    </w:p>
    <w:p w:rsidR="00137C95" w:rsidRPr="001152AF" w:rsidRDefault="00137C95" w:rsidP="00CA464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Regionalny Dyrektor Ochrony Środowiska w Bydgoszczy wezwał inwestora do uzupełnienia karty informacyjnej przedsięwzięcia</w:t>
      </w:r>
      <w:r w:rsidR="00BB4294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(</w:t>
      </w:r>
      <w:r w:rsidR="0066033B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pismami:</w:t>
      </w:r>
      <w:r w:rsidR="00DC1FD6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znak WOO.4</w:t>
      </w:r>
      <w:r w:rsidR="001543E1">
        <w:rPr>
          <w:rFonts w:ascii="Times New Roman" w:eastAsia="Times New Roman" w:hAnsi="Times New Roman" w:cs="Times New Roman"/>
          <w:sz w:val="25"/>
          <w:szCs w:val="25"/>
          <w:lang w:eastAsia="pl-PL"/>
        </w:rPr>
        <w:t>240.48</w:t>
      </w:r>
      <w:r w:rsidR="00444C09">
        <w:rPr>
          <w:rFonts w:ascii="Times New Roman" w:eastAsia="Times New Roman" w:hAnsi="Times New Roman" w:cs="Times New Roman"/>
          <w:sz w:val="25"/>
          <w:szCs w:val="25"/>
          <w:lang w:eastAsia="pl-PL"/>
        </w:rPr>
        <w:t>1.2014.ADS z dnia 14.04</w:t>
      </w:r>
      <w:r w:rsidR="00DC1FD6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.2014</w:t>
      </w:r>
      <w:r w:rsidR="0018453B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r.</w:t>
      </w:r>
      <w:r w:rsidR="00444C09">
        <w:rPr>
          <w:rFonts w:ascii="Times New Roman" w:eastAsia="Times New Roman" w:hAnsi="Times New Roman" w:cs="Times New Roman"/>
          <w:sz w:val="25"/>
          <w:szCs w:val="25"/>
          <w:lang w:eastAsia="pl-PL"/>
        </w:rPr>
        <w:t>, WOO.4240.481.2014.ADS</w:t>
      </w:r>
      <w:r w:rsidR="0066033B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.2 z dnia </w:t>
      </w:r>
      <w:r w:rsidR="00444C09">
        <w:rPr>
          <w:rFonts w:ascii="Times New Roman" w:eastAsia="Times New Roman" w:hAnsi="Times New Roman" w:cs="Times New Roman"/>
          <w:sz w:val="25"/>
          <w:szCs w:val="25"/>
          <w:lang w:eastAsia="pl-PL"/>
        </w:rPr>
        <w:t>12.08</w:t>
      </w:r>
      <w:r w:rsidR="008C315D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.2015</w:t>
      </w:r>
      <w:r w:rsidR="00520EFA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66033B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r.</w:t>
      </w:r>
      <w:r w:rsidR="001543E1">
        <w:rPr>
          <w:rFonts w:ascii="Times New Roman" w:eastAsia="Times New Roman" w:hAnsi="Times New Roman" w:cs="Times New Roman"/>
          <w:sz w:val="25"/>
          <w:szCs w:val="25"/>
          <w:lang w:eastAsia="pl-PL"/>
        </w:rPr>
        <w:t>)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. Inwestor uzupełnił kartę informacyjną</w:t>
      </w:r>
      <w:r w:rsidR="008C256D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zgodnie z otrzymanym wezwaniem</w:t>
      </w:r>
      <w:r w:rsidR="00DC1FD6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(pismem</w:t>
      </w:r>
      <w:r w:rsidR="00BB4294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z dnia </w:t>
      </w:r>
      <w:r w:rsidR="00444C09">
        <w:rPr>
          <w:rFonts w:ascii="Times New Roman" w:eastAsia="Times New Roman" w:hAnsi="Times New Roman" w:cs="Times New Roman"/>
          <w:sz w:val="25"/>
          <w:szCs w:val="25"/>
          <w:lang w:eastAsia="pl-PL"/>
        </w:rPr>
        <w:t>04.05.2015 r.)</w:t>
      </w:r>
    </w:p>
    <w:p w:rsidR="00404A82" w:rsidRDefault="00AB7602" w:rsidP="00CA464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</w:r>
      <w:r w:rsidR="00404A8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Regionalny Dyrektor Ochrony Środowiska w Bydgoszczy </w:t>
      </w:r>
      <w:r w:rsidR="00591610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postanowieniem znak </w:t>
      </w:r>
      <w:r w:rsidR="00444C09">
        <w:rPr>
          <w:rFonts w:ascii="Times New Roman" w:eastAsia="Times New Roman" w:hAnsi="Times New Roman" w:cs="Times New Roman"/>
          <w:sz w:val="25"/>
          <w:szCs w:val="25"/>
          <w:lang w:eastAsia="pl-PL"/>
        </w:rPr>
        <w:t>WOO.4240.481.2014.ADS.3</w:t>
      </w:r>
      <w:r w:rsidR="00444C09" w:rsidRPr="00444C0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444C09">
        <w:rPr>
          <w:rFonts w:ascii="Times New Roman" w:eastAsia="Times New Roman" w:hAnsi="Times New Roman" w:cs="Times New Roman"/>
          <w:sz w:val="25"/>
          <w:szCs w:val="25"/>
          <w:lang w:eastAsia="pl-PL"/>
        </w:rPr>
        <w:t>z dnia 14.05</w:t>
      </w:r>
      <w:r w:rsidR="008C315D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.2015</w:t>
      </w:r>
      <w:r w:rsidR="00520EFA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404A8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r. wyraził opinię, że dla </w:t>
      </w:r>
      <w:r w:rsidR="003710C3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ww. </w:t>
      </w:r>
      <w:r w:rsidR="00404A8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przedsięwzięcia nie istnieje  konieczność przeprowadzenia oceny oddziaływania na środowisko. </w:t>
      </w:r>
    </w:p>
    <w:p w:rsidR="00204EB6" w:rsidRPr="00204EB6" w:rsidRDefault="00204EB6" w:rsidP="00E266F6">
      <w:pPr>
        <w:pStyle w:val="Bezodstpw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bookmarkStart w:id="0" w:name="_GoBack"/>
      <w:bookmarkEnd w:id="0"/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>Po zapoznaniu się z dołączona do wniosku dokumentacją, tj. kartą informacyjną przedsięwzięcia (uzupełnioną 4 maja 2015r.) stwierdzono, że jest to zamierzenie mogące potencjalnie znacząco oddziaływać znacząco na środowisko, wymienione z §3 ust. 1 pkt 60 cyt. Rozporządzenia Rady Ministrów z dnia 9 listopada 2010r.: „drogi o nawierzchni twardej o całkowitej długości przedsięwzięcia powyżej 1 km inne niż wymienione w § 2 ust. 1 pkt 31i 32 oraz obiekty mostowe w ciągu drogi o nawierzchni twardej, z wyłączeniem przebudowy dróg oraz obiektów mostowych, służących do obsługi stacji elektroenergetycznych i zlokalizowanych poza obszarami objętymi formami ochrony przyrody, o których mowa w art. 6 ust. 1 pkt 1 – 5, 8 i 9 ustawy z dnia 16 kwietnia 2004r. o ochronie przyrody”.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Odstąpiono od oceny zgodności przedmiotowego zamierzenia z ustaleniami miejscowego planu zagospodarowania przestrzennego, ponieważ analizowana inwestycja dotyczy przebudowy drogi publicznej, która w myśl art. 80 ust. 2 ww. ustawy z dnia 3 października 2008r.  nie wymaga stwierdzenia zgodności lokalizacji przedsięwzięcia z ustaleniami ww. plany, jeżeli został on uchwalony.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W odniesieniu do uwarunkowań wymienionych w art. 63 ust. 1 cyt. ustawy z dnia 3 października 2008r. o udostępnieniu informacji o środowisku i jego ochronie, udziale społeczeństwa w ochronie środowiska oraz o ocenach oddziaływania na środowisko, tutejszy Organ przeanalizował rodzaj i charakter inwestycji, usytuowanie przedsięwzięcia, zważywszy na możliwe zagrożenia dla środowiska, jak również i skalę możliwego oddziaływania.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Zamierzenie znajdujące się na terenie gminy Łubianka w m. Pigża. Dotyczy przebudowy dróg gminnych nr 100408C (ul. Prosta), 100414C (ul. Parkowa), 100423C (ul. Aleja Kard. St. Wyszyńskiego), 100424C (ul. Migdałowa), 100434C (ul. Wschodnia), 100435C (ul. Młodzieżowa) i 100436C (ul. Poprzeczna) oraz dróg powiatowych Pigża – Brąchnowo – Chełmża nr 2018C (ul. A. Boboli) i Świerczynki – </w:t>
      </w:r>
      <w:proofErr w:type="spellStart"/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>Kowróz</w:t>
      </w:r>
      <w:proofErr w:type="spellEnd"/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– Ostaszewo nr 2021C (ul. Graniczna), na długości łącznie ok 6 km.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Są to odcinki usytuowane zarówno w terenie zabudowanym, jak też rolniczym, o zróżnicowanej nawierzchni (gruntowej zwykłej i ulepszonej żużlem, kamieniem, gruzem, czy bitumicznej). Posiadają nienormatywne profile poprzeczne i podłużne oraz nieregularne wystrzępione krawędzie jezdni. Pobocza gruntowe są zawyżone. Występujące po obu stronach dróg rowy odwadniające zanikają, zostały zniszczone, bądź zamulone, więc wymagają odtworzenia.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lastRenderedPageBreak/>
        <w:tab/>
        <w:t>Sąsiedztwo inwestycji stanowią obszary wykorzystywane gospodarczo (siedliskowo), o profilu rolniczym, z uzupełniającą zabudową mieszkaniową jednorodzinną. Odległość najbliższych budynków od krawędzi jezdni wynosi od 6 do 12 m.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 W ramach zadania nastąpi: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>1. Przebudowa nawierzchni dróg gminnych oraz skrzyżowań drogi powiatowej nr 2018Cz gminnymi nr:100408C, 100434C, a także powiatowej nr 2021C z gminną nr 100435C, w następującej technologii: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a. wykonanie warstw konstrukcyjnych podbudowy z gruzu i/ lub kruszyw kamiennych, gr. </w:t>
      </w: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do 25 cm, 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b. ułożenie warstwy wyrównawczej, gr, do 5 cm na całej szerokości jezdni,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c. ułożenie warstwy ścieralnej, gr. do 4 cm na całej szerokości jezdni,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d. wykonanie poboczy – szerokości 0,75 m obustronnie z kruszywa kamiennego, gr. 10 cm,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e. odbudowa istniejących zjazdów do posesji,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f. regulacja oraz oczyszczenie rowów przydrożnych, przepustów pod koroną drogi,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g. oznaczenie pionowe i poziome dróg oraz zabezpieczenie ruchu drogowego.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>2. Wykonanie chodników w technologii z kostki Pol-bruk w obrzeżach na podbudowie piaskowej i gruzu betonowego na warstwie cementowo – piaskowej w miejscach szczególnie niebezpiecznych, wokół skrzyżowań oraz skupiskach zabudowy jednorodzinnej.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 Odwodnienie jezdni z wód opadowych i roztopowych zaprojektowano poprzez nadanie odpowiednich spadków podłużnych i poprzecznych, do oznaczonych rowów.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Inwestor wykluczył możliwość zastosowania wariantów innych niż proponowany. Pozostawienie stanu istniejącego to: zły stan techniczny, brak nawierzchni asfaltowej, liczne koleiny, nierówności, zastoiska wodne, skrzyżowania dróg powiatowych i gminnych o nieprawidłowych rozwiązaniach konstrukcyjnych, spowalniających ruch, stanowiących niebezpieczeństwo dla użytkowników dróg ze względu na ograniczone rozmiary i rozwiązania komunikacyjne. Wariant zerowy w zakresie rozwiązań odwodnieniowych spowoduje odprowadzenie wód opadowych do istniejących, zanikających rowów przydrożnych i na przyległe tereny zielone.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W związku z powyższym Wnioskodawca uznał zasadność wykonania zadania w omawianym wcześniej zakresie.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W czasie realizacji zostanie wykorzystywany sprzęt ciężki oraz środki transportu, z czym wiąże się zapylenie oraz emisja spalin do środowiska. Wykonawca zostanie zobowiązany do włączenia silników spalinowych podczas dłuższych postojów samochodów, czy sprzętu. Maszyny używane do prac ziemnych i montażowych będą sprawne, bez wycieków paliwa i olejów. Właściwa organizacja pracy oraz odpowiedni sprzęt i reżim technologiczny wyeliminują potencjalne zagrożenia. Ponadto, może wystąpić okresowo oddziaływanie wibracyjne związaną z pracą maszyn i urządzeń budowlanych, wszystkie pracy prowadzone będą w porze dziennej, tj. w godzinach od 6:00 do 22:00, a uciążliwości te będą miały charakter okresowy i ustąpią z chwilą zamknięcia placu budowy. 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Powstające na etapie realizacji zamierzenia odpady planuje się gromadzić w wydzielonym miejscu, odpowiednio zabezpieczonym, a następnie wywozić i zagospodarować zgodnie z ustawą z dnia 10 Grudnia 2012r. o odpadach (Dz. U. z 2013r., poz. 21 ze zam.), przez specjalistyczne firmy. Przetwarzanie odpadów zawierających asfalt będzie odbywać się wyłącznie w instalacjach wyłącznie do tego przeznaczonych.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lastRenderedPageBreak/>
        <w:tab/>
        <w:t>Inwestycja nie jest całkowicie nowym zamierzeniem i nie spowoduje wzrostu natężenia ruchu pojazdów, zwiększenia ich prędkości lub udziału pojazdów ciężkich w potoku ruchu. Przedsięwzięcie należy traktować jako dostosowanie do obecnych wymogów.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W związku z charakterem planowanego zamierzenia, przy zastosowaniu zaproponowanych w karcie informacyjnej rozwiań mających na celu ochronę środowiska, nie przewiduje się wpływu czynności realizacyjnych na zwiększanie zanieczyszczenia wód powierzchniowych i podziemnych oraz gleby. Wzmocnienie konstrukcji zwiększy płynność ruchu, w związku z czym genialnie zmniejszy się poziom hałasu, nastąpi również poprawa bezpieczeństwa komunikacyjnego. 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Inwestycja zlokalizowana jest w obszarze dorzecza Wisły, dla którego opracowano Plan gospodarowania wodami na obszarze dorzecza Wisły, przyjęty Uchwałą Rady Ministrów z dnia 22 lutego 2011r. (M.P. z dnia 21 czerwca 2011r., Nr.49, poz. 549). Z uwagi na rodzaj, zakres i lokalizację przedsięwzięcia stwierdza się, że przy  zastosowani rozwiązań opisanych w karcie informacyjnej, jego realizacja i eksploatacji nie wpływa na ryzyko nieosiągnięcia celów środowiskowych zawartych w ww. dokumencie. 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Zamierzenie zaprojektowano poza obszarami chronionymi myśli ustawy z dnia 16 kwietnia 2004r. O ochronie przyrody (Dz. U. z 2013r., poz. 627, ze am.), w tym poza wyznaczonymi, mającymi znaczenie dla Wspólnoty i projektowanymi przekazanymi do Komisji Europejskimi obszarami Natura 2000.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Realizacja zadania wymaga wycinki 5 sztuk drzew różnych gatunków, w których nie stwierdzono występowania dziupli oraz </w:t>
      </w:r>
      <w:proofErr w:type="spellStart"/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>próchnowisk</w:t>
      </w:r>
      <w:proofErr w:type="spellEnd"/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. Nie zaobserwowano również gatunków chronionych roślin i zwierząt w drzewostanie przeznaczonym do uschnięcia. Wycinka nastąpi poza okresem lęgowym ptaków, trwającym od 15 marca do 15 sierpnia. 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W ramach działań zastępczych Inwestor planuje wykonanie </w:t>
      </w:r>
      <w:proofErr w:type="spellStart"/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>nasadzeń</w:t>
      </w:r>
      <w:proofErr w:type="spellEnd"/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w ilości 40 sztuk dębów.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Ze względu na dotychczasowy sposób użytkowania terenu objętego planowaną inwestycją oraz skalę i zasięg, nie przewiduje się, aby prace te, wiązały się ze znacząco negatywnym oddziaływaniem na środowisko w zakresie ochrony przyrody, a tym samym nie wymaga wykonania raportu o oddziaływaniu przedsięwzięcia na środowisko w odniesieniu do ochrony przyrody i obszarów Natura 2000.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W rejonie projektowanego zadanie nie występują obszary wybrzeży, górskie, strefy ujęć wód i obszary ochronne zbiorników wód środowiskowych, obszary, na których standardy jakości zostały przekroczone, o krajobrazie mającym znaczenie historyczne, kulturowe lub archeologiczne, o znacznej gęstości zaludnienia, jak również obszary ochrony uzdrowiskowej.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Planowana inwestycja nie będzie stwarzać zagrożenia występowania poważnej awarii w rozumieniu przepisu art. 248 ust. 1 ustawy z dnia 27 kwietnia 2001r. Prawo ochrony środowiska (Dz. U. Z 2013r., poz. 1232 ze zm.). Ustalono, że na etapie realizacji i eksploatacji nie będą stosowane substancje oraz technologie, które w myśl rozporządzenia Ministra Gospodarki z dnia 10 października 2013r. w sprawie rodzajów i ilości substancji niebezpiecznych, których znajdowanie się w zakładzie decyduje o zaliczeniu go do zakładu o zwiększonym ryzyku albo zakładu o dużym ryzyku wystąpienia poważnej awarii przemysłowej (Dz. U. z 2013r., </w:t>
      </w:r>
      <w:proofErr w:type="spellStart"/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>poz</w:t>
      </w:r>
      <w:proofErr w:type="spellEnd"/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1479), stwarzałyby </w:t>
      </w:r>
      <w:proofErr w:type="spellStart"/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>ww</w:t>
      </w:r>
      <w:proofErr w:type="spellEnd"/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ryzyko.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Zadanie powiązane jest funkcjonalnie z istniejącym układem drogowym. Mając na względzie jego skalę, nie przewiduje się wystąpienia znaczącego skumulowanego oddziaływania. Należy jednak pamiętać, że przedmiotowy teren usytuowany jest w pobliżu zabudowy mieszkaniowej i działek przeznaczonych pod taką zabudowę, nie sposób więc przewidzieć wszystkich planowanych zamierzeń na danym obszarze. Analizując ryzyko </w:t>
      </w: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lastRenderedPageBreak/>
        <w:t>wystąpienia znaczącego skumulowanego oddziaływania na etapie budowy stwierdzono, że w przypadku ewentualnej równoczesnej realizacji kilku inwestycji na omawianym terenie, wzajemnie interakcje mogą zachodzić. W razie nakładania się harmonogramów prac pomiędzy przebudową dróg a innymi realizowanymi przedsięwzięciami spodziewać się należy kumulacji oddziaływania w zakresie emisji gazów do powietrza i hałasu. Zwiększy się generowanie zanieczyszczeń do powietrza w wyniku pracy maszyn w jednakowym czasie.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W takim przypadku należy tak ułożyć harmonogram prac, aby z jednej strony uwzględnić technologię robót, z drugiej zaś ograniczyć kumulację uciążliwych oddziaływań.</w:t>
      </w:r>
    </w:p>
    <w:p w:rsidR="00204EB6" w:rsidRPr="00204EB6" w:rsidRDefault="00204EB6" w:rsidP="00204EB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Zamierzenie, ze względu na swój lokalny zasięg, nie wiąże się z oddziaływaniem transgranicznym. </w:t>
      </w:r>
    </w:p>
    <w:p w:rsidR="008427AA" w:rsidRPr="001152AF" w:rsidRDefault="00204EB6" w:rsidP="00204EB6">
      <w:pPr>
        <w:pStyle w:val="Bezodstpw"/>
        <w:jc w:val="both"/>
        <w:rPr>
          <w:rFonts w:ascii="Times New Roman" w:hAnsi="Times New Roman" w:cs="Times New Roman"/>
          <w:i/>
          <w:sz w:val="25"/>
          <w:szCs w:val="25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</w:r>
    </w:p>
    <w:p w:rsidR="008427AA" w:rsidRPr="001152AF" w:rsidRDefault="008427AA" w:rsidP="00CA46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5"/>
          <w:szCs w:val="25"/>
        </w:rPr>
      </w:pPr>
    </w:p>
    <w:p w:rsidR="0052230A" w:rsidRPr="001152AF" w:rsidRDefault="0052230A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1152AF">
        <w:rPr>
          <w:rFonts w:ascii="Times New Roman" w:hAnsi="Times New Roman" w:cs="Times New Roman"/>
          <w:sz w:val="25"/>
          <w:szCs w:val="25"/>
        </w:rPr>
        <w:t>W związku z powyższym, biorąc pod uwagę lokalizację, zakres i planowany sposób realizacji i eksploatacji inwestycji ,w oparciu o art. 63 ww. ustawy z dnia 3 października 2008 r. o udostępnianiu informacji o środowisku i jego ochronie, udziale społeczeństwa w ochronie środowiska oraz o ocenach oddziaływania na środowisko, tut. Organ nie stwierdził potrzeby przeprowadzenia dla przedmiotowego przedsięwzięcia oceny oddziaływania na środowisko, a tym samym sporządzenia raportu o oddziaływaniu na środowisko.</w:t>
      </w:r>
    </w:p>
    <w:p w:rsidR="005634A1" w:rsidRPr="001152AF" w:rsidRDefault="00541BC2" w:rsidP="00CA4642">
      <w:pPr>
        <w:spacing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152AF">
        <w:rPr>
          <w:rFonts w:ascii="Times New Roman" w:hAnsi="Times New Roman" w:cs="Times New Roman"/>
          <w:sz w:val="25"/>
          <w:szCs w:val="25"/>
        </w:rPr>
        <w:tab/>
      </w:r>
      <w:r w:rsidR="005634A1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Mając powyższe  na uwadze postanowiono jak w sentencji. </w:t>
      </w:r>
    </w:p>
    <w:p w:rsidR="005634A1" w:rsidRPr="001152AF" w:rsidRDefault="005634A1" w:rsidP="00CA464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POUCZENIE</w:t>
      </w:r>
    </w:p>
    <w:p w:rsidR="00404A82" w:rsidRPr="001152AF" w:rsidRDefault="00945F6A" w:rsidP="00CA4642">
      <w:pPr>
        <w:spacing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1152AF">
        <w:rPr>
          <w:rFonts w:ascii="Times New Roman" w:hAnsi="Times New Roman" w:cs="Times New Roman"/>
          <w:sz w:val="25"/>
          <w:szCs w:val="25"/>
        </w:rPr>
        <w:tab/>
        <w:t>Na niniejsze postanowienie nie przysługuje zażalenie.</w:t>
      </w: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3F1C07" w:rsidRDefault="003F1C07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3F1C07" w:rsidRDefault="003F1C07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04EB6" w:rsidRDefault="00204EB6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04EB6" w:rsidRDefault="00204EB6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04EB6" w:rsidRDefault="00204EB6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04EB6" w:rsidRDefault="00204EB6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04EB6" w:rsidRDefault="00204EB6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04EB6" w:rsidRDefault="00204EB6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04EB6" w:rsidRDefault="00204EB6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04EB6" w:rsidRDefault="00204EB6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3F1C07" w:rsidRDefault="003F1C07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97A8F" w:rsidRPr="00197A8F" w:rsidRDefault="00197A8F" w:rsidP="00197A8F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hAnsi="Times New Roman" w:cs="Times New Roman"/>
          <w:sz w:val="14"/>
          <w:szCs w:val="14"/>
        </w:rPr>
        <w:t xml:space="preserve">Otrzymują: </w:t>
      </w:r>
    </w:p>
    <w:p w:rsidR="00197A8F" w:rsidRPr="00197A8F" w:rsidRDefault="00197A8F" w:rsidP="00197A8F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eastAsia="Calibri" w:hAnsi="Times New Roman" w:cs="Times New Roman"/>
          <w:color w:val="000000"/>
          <w:sz w:val="14"/>
          <w:szCs w:val="14"/>
        </w:rPr>
        <w:t>Gmina Łubianka, Aleja Jana Pawła II nr 8, 87-152 Łubianka</w:t>
      </w:r>
    </w:p>
    <w:p w:rsidR="00197A8F" w:rsidRPr="00197A8F" w:rsidRDefault="00197A8F" w:rsidP="00197A8F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hAnsi="Times New Roman" w:cs="Times New Roman"/>
          <w:sz w:val="14"/>
          <w:szCs w:val="14"/>
        </w:rPr>
        <w:t xml:space="preserve">a/a, BIP, wg. Załącznika, tablice ogłoszeń: UG Łubianka i Łysomice, sołectwa Pigża i Różankowo </w:t>
      </w:r>
    </w:p>
    <w:p w:rsidR="00197A8F" w:rsidRPr="00197A8F" w:rsidRDefault="00197A8F" w:rsidP="00197A8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</w:p>
    <w:p w:rsidR="00197A8F" w:rsidRPr="00197A8F" w:rsidRDefault="00197A8F" w:rsidP="00197A8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hAnsi="Times New Roman" w:cs="Times New Roman"/>
          <w:sz w:val="14"/>
          <w:szCs w:val="14"/>
        </w:rPr>
        <w:t>Do wiadomości:</w:t>
      </w:r>
    </w:p>
    <w:p w:rsidR="00197A8F" w:rsidRPr="00197A8F" w:rsidRDefault="00197A8F" w:rsidP="00197A8F">
      <w:pPr>
        <w:numPr>
          <w:ilvl w:val="0"/>
          <w:numId w:val="5"/>
        </w:numPr>
        <w:spacing w:after="80" w:line="240" w:lineRule="auto"/>
        <w:contextualSpacing/>
        <w:rPr>
          <w:rFonts w:ascii="Times New Roman" w:hAnsi="Times New Roman" w:cs="Times New Roman"/>
          <w:color w:val="000000"/>
          <w:sz w:val="14"/>
          <w:szCs w:val="14"/>
        </w:rPr>
      </w:pPr>
      <w:r w:rsidRPr="00197A8F">
        <w:rPr>
          <w:rFonts w:ascii="Times New Roman" w:hAnsi="Times New Roman" w:cs="Times New Roman"/>
          <w:color w:val="000000"/>
          <w:sz w:val="14"/>
          <w:szCs w:val="14"/>
        </w:rPr>
        <w:t>Regionalny Dyrektor Ochrony Środowiska, ul. Dworcowa 81, 85-059 Bydgoszcz</w:t>
      </w:r>
    </w:p>
    <w:p w:rsidR="00197A8F" w:rsidRPr="00197A8F" w:rsidRDefault="00197A8F" w:rsidP="00197A8F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before="100" w:beforeAutospacing="1" w:after="0" w:afterAutospacing="1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hAnsi="Times New Roman" w:cs="Times New Roman"/>
          <w:sz w:val="14"/>
          <w:szCs w:val="14"/>
        </w:rPr>
        <w:t xml:space="preserve">Państwowy Powiatowy Inspektor  Sanitarny, ul. Szosa Bydgoska 1, 87-100 Toruń </w:t>
      </w: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E4B58" w:rsidRPr="000A0A05" w:rsidRDefault="00AB7602" w:rsidP="001152A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0A0A05">
        <w:rPr>
          <w:rFonts w:ascii="Times New Roman" w:hAnsi="Times New Roman" w:cs="Times New Roman"/>
          <w:b/>
          <w:sz w:val="14"/>
          <w:szCs w:val="25"/>
        </w:rPr>
        <w:t xml:space="preserve"> </w:t>
      </w:r>
    </w:p>
    <w:sectPr w:rsidR="002E4B58" w:rsidRPr="000A0A05" w:rsidSect="003F1C07">
      <w:footerReference w:type="default" r:id="rId8"/>
      <w:pgSz w:w="11906" w:h="16838" w:code="9"/>
      <w:pgMar w:top="1361" w:right="1361" w:bottom="1361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7F9" w:rsidRDefault="00A407F9" w:rsidP="00037ED6">
      <w:pPr>
        <w:spacing w:after="0" w:line="240" w:lineRule="auto"/>
      </w:pPr>
      <w:r>
        <w:separator/>
      </w:r>
    </w:p>
  </w:endnote>
  <w:endnote w:type="continuationSeparator" w:id="0">
    <w:p w:rsidR="00A407F9" w:rsidRDefault="00A407F9" w:rsidP="00037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13297"/>
      <w:docPartObj>
        <w:docPartGallery w:val="Page Numbers (Bottom of Page)"/>
        <w:docPartUnique/>
      </w:docPartObj>
    </w:sdtPr>
    <w:sdtEndPr/>
    <w:sdtContent>
      <w:p w:rsidR="00037ED6" w:rsidRDefault="00037ED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66F6">
          <w:rPr>
            <w:noProof/>
          </w:rPr>
          <w:t>5</w:t>
        </w:r>
        <w:r>
          <w:fldChar w:fldCharType="end"/>
        </w:r>
      </w:p>
    </w:sdtContent>
  </w:sdt>
  <w:p w:rsidR="00037ED6" w:rsidRDefault="00037E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7F9" w:rsidRDefault="00A407F9" w:rsidP="00037ED6">
      <w:pPr>
        <w:spacing w:after="0" w:line="240" w:lineRule="auto"/>
      </w:pPr>
      <w:r>
        <w:separator/>
      </w:r>
    </w:p>
  </w:footnote>
  <w:footnote w:type="continuationSeparator" w:id="0">
    <w:p w:rsidR="00A407F9" w:rsidRDefault="00A407F9" w:rsidP="00037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24C0B"/>
    <w:multiLevelType w:val="hybridMultilevel"/>
    <w:tmpl w:val="BCA6ADAE"/>
    <w:lvl w:ilvl="0" w:tplc="5DC005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265BC"/>
    <w:multiLevelType w:val="hybridMultilevel"/>
    <w:tmpl w:val="7A1ACA0A"/>
    <w:lvl w:ilvl="0" w:tplc="FA5E94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CC262C"/>
    <w:multiLevelType w:val="hybridMultilevel"/>
    <w:tmpl w:val="5C7C8100"/>
    <w:lvl w:ilvl="0" w:tplc="CF7439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19268A"/>
    <w:multiLevelType w:val="hybridMultilevel"/>
    <w:tmpl w:val="35AA19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B73B2"/>
    <w:multiLevelType w:val="hybridMultilevel"/>
    <w:tmpl w:val="9C945F8C"/>
    <w:lvl w:ilvl="0" w:tplc="825EE4FE">
      <w:start w:val="3"/>
      <w:numFmt w:val="lowerLetter"/>
      <w:lvlText w:val="%1)"/>
      <w:lvlJc w:val="left"/>
      <w:pPr>
        <w:tabs>
          <w:tab w:val="num" w:pos="454"/>
        </w:tabs>
        <w:ind w:left="284" w:firstLine="17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072"/>
        </w:tabs>
        <w:ind w:left="2072" w:hanging="360"/>
      </w:pPr>
    </w:lvl>
    <w:lvl w:ilvl="2" w:tplc="0415001B">
      <w:start w:val="1"/>
      <w:numFmt w:val="decimal"/>
      <w:lvlText w:val="%3."/>
      <w:lvlJc w:val="left"/>
      <w:pPr>
        <w:tabs>
          <w:tab w:val="num" w:pos="2792"/>
        </w:tabs>
        <w:ind w:left="2792" w:hanging="360"/>
      </w:pPr>
    </w:lvl>
    <w:lvl w:ilvl="3" w:tplc="0415000F">
      <w:start w:val="1"/>
      <w:numFmt w:val="decimal"/>
      <w:lvlText w:val="%4."/>
      <w:lvlJc w:val="left"/>
      <w:pPr>
        <w:tabs>
          <w:tab w:val="num" w:pos="3512"/>
        </w:tabs>
        <w:ind w:left="3512" w:hanging="360"/>
      </w:pPr>
    </w:lvl>
    <w:lvl w:ilvl="4" w:tplc="04150019">
      <w:start w:val="1"/>
      <w:numFmt w:val="decimal"/>
      <w:lvlText w:val="%5."/>
      <w:lvlJc w:val="left"/>
      <w:pPr>
        <w:tabs>
          <w:tab w:val="num" w:pos="4232"/>
        </w:tabs>
        <w:ind w:left="423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952"/>
        </w:tabs>
        <w:ind w:left="495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672"/>
        </w:tabs>
        <w:ind w:left="567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392"/>
        </w:tabs>
        <w:ind w:left="639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12"/>
        </w:tabs>
        <w:ind w:left="7112" w:hanging="360"/>
      </w:pPr>
    </w:lvl>
  </w:abstractNum>
  <w:abstractNum w:abstractNumId="6" w15:restartNumberingAfterBreak="0">
    <w:nsid w:val="59C653CD"/>
    <w:multiLevelType w:val="hybridMultilevel"/>
    <w:tmpl w:val="7DB05300"/>
    <w:lvl w:ilvl="0" w:tplc="0C94E7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783A91"/>
    <w:multiLevelType w:val="hybridMultilevel"/>
    <w:tmpl w:val="724E97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1EE535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A617CC"/>
    <w:multiLevelType w:val="hybridMultilevel"/>
    <w:tmpl w:val="65EA456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3B77BFA"/>
    <w:multiLevelType w:val="hybridMultilevel"/>
    <w:tmpl w:val="4FA25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A9B50AA"/>
    <w:multiLevelType w:val="hybridMultilevel"/>
    <w:tmpl w:val="73A04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10"/>
  </w:num>
  <w:num w:numId="7">
    <w:abstractNumId w:val="9"/>
  </w:num>
  <w:num w:numId="8">
    <w:abstractNumId w:val="3"/>
  </w:num>
  <w:num w:numId="9">
    <w:abstractNumId w:val="6"/>
  </w:num>
  <w:num w:numId="10">
    <w:abstractNumId w:val="0"/>
  </w:num>
  <w:num w:numId="11">
    <w:abstractNumId w:val="1"/>
  </w:num>
  <w:num w:numId="12">
    <w:abstractNumId w:val="4"/>
  </w:num>
  <w:num w:numId="13">
    <w:abstractNumId w:val="11"/>
  </w:num>
  <w:num w:numId="14">
    <w:abstractNumId w:val="8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82"/>
    <w:rsid w:val="00007AAD"/>
    <w:rsid w:val="00011D39"/>
    <w:rsid w:val="00016561"/>
    <w:rsid w:val="000347A4"/>
    <w:rsid w:val="00034B66"/>
    <w:rsid w:val="00037ED6"/>
    <w:rsid w:val="00085326"/>
    <w:rsid w:val="00092833"/>
    <w:rsid w:val="000A0A05"/>
    <w:rsid w:val="000B64E9"/>
    <w:rsid w:val="00107C5F"/>
    <w:rsid w:val="001152AF"/>
    <w:rsid w:val="00135071"/>
    <w:rsid w:val="00137C95"/>
    <w:rsid w:val="001437B7"/>
    <w:rsid w:val="001543E1"/>
    <w:rsid w:val="0018453B"/>
    <w:rsid w:val="00197A8F"/>
    <w:rsid w:val="001A72BD"/>
    <w:rsid w:val="001E3172"/>
    <w:rsid w:val="00204EB6"/>
    <w:rsid w:val="002069D7"/>
    <w:rsid w:val="00206C6D"/>
    <w:rsid w:val="00223660"/>
    <w:rsid w:val="00226CD4"/>
    <w:rsid w:val="00241E61"/>
    <w:rsid w:val="00284588"/>
    <w:rsid w:val="002A12A7"/>
    <w:rsid w:val="002C0FDB"/>
    <w:rsid w:val="002D3942"/>
    <w:rsid w:val="002E4B58"/>
    <w:rsid w:val="002F26C3"/>
    <w:rsid w:val="003403EF"/>
    <w:rsid w:val="0035228C"/>
    <w:rsid w:val="00354740"/>
    <w:rsid w:val="003710C3"/>
    <w:rsid w:val="00381D91"/>
    <w:rsid w:val="003A553A"/>
    <w:rsid w:val="003C1B9E"/>
    <w:rsid w:val="003F1C07"/>
    <w:rsid w:val="00404A82"/>
    <w:rsid w:val="00444C09"/>
    <w:rsid w:val="00452B98"/>
    <w:rsid w:val="00466705"/>
    <w:rsid w:val="0047176F"/>
    <w:rsid w:val="004A23E0"/>
    <w:rsid w:val="00520EFA"/>
    <w:rsid w:val="0052230A"/>
    <w:rsid w:val="00541BC2"/>
    <w:rsid w:val="0054535F"/>
    <w:rsid w:val="005634A1"/>
    <w:rsid w:val="00573C3E"/>
    <w:rsid w:val="00585667"/>
    <w:rsid w:val="00591610"/>
    <w:rsid w:val="005A1CFD"/>
    <w:rsid w:val="005D0EE6"/>
    <w:rsid w:val="005E31C6"/>
    <w:rsid w:val="005E5FD7"/>
    <w:rsid w:val="006263C5"/>
    <w:rsid w:val="006351A6"/>
    <w:rsid w:val="0066033B"/>
    <w:rsid w:val="00665FC3"/>
    <w:rsid w:val="00671C5A"/>
    <w:rsid w:val="00692288"/>
    <w:rsid w:val="006944A6"/>
    <w:rsid w:val="006C437F"/>
    <w:rsid w:val="006C7DAD"/>
    <w:rsid w:val="006D61DA"/>
    <w:rsid w:val="00704D3A"/>
    <w:rsid w:val="00720818"/>
    <w:rsid w:val="00735984"/>
    <w:rsid w:val="007574EB"/>
    <w:rsid w:val="0078137E"/>
    <w:rsid w:val="00784C3B"/>
    <w:rsid w:val="007D1248"/>
    <w:rsid w:val="007E4CBC"/>
    <w:rsid w:val="00802886"/>
    <w:rsid w:val="008369A3"/>
    <w:rsid w:val="00840B3B"/>
    <w:rsid w:val="00841817"/>
    <w:rsid w:val="00841A50"/>
    <w:rsid w:val="008427AA"/>
    <w:rsid w:val="00863372"/>
    <w:rsid w:val="00872580"/>
    <w:rsid w:val="00875681"/>
    <w:rsid w:val="008A5BDD"/>
    <w:rsid w:val="008C256D"/>
    <w:rsid w:val="008C30AD"/>
    <w:rsid w:val="008C315D"/>
    <w:rsid w:val="00900C62"/>
    <w:rsid w:val="00900DE4"/>
    <w:rsid w:val="00904DE7"/>
    <w:rsid w:val="00906A95"/>
    <w:rsid w:val="00930E11"/>
    <w:rsid w:val="00935BAF"/>
    <w:rsid w:val="00945F6A"/>
    <w:rsid w:val="00952880"/>
    <w:rsid w:val="00952A7B"/>
    <w:rsid w:val="009651A0"/>
    <w:rsid w:val="00986DC6"/>
    <w:rsid w:val="009A48A3"/>
    <w:rsid w:val="009B02B7"/>
    <w:rsid w:val="009B5B7C"/>
    <w:rsid w:val="009C3D08"/>
    <w:rsid w:val="00A05497"/>
    <w:rsid w:val="00A30B1C"/>
    <w:rsid w:val="00A407F9"/>
    <w:rsid w:val="00A41119"/>
    <w:rsid w:val="00A615A3"/>
    <w:rsid w:val="00A83A90"/>
    <w:rsid w:val="00A8434C"/>
    <w:rsid w:val="00AB7602"/>
    <w:rsid w:val="00AD635C"/>
    <w:rsid w:val="00B2399B"/>
    <w:rsid w:val="00B34F07"/>
    <w:rsid w:val="00B35C36"/>
    <w:rsid w:val="00B7568A"/>
    <w:rsid w:val="00B77797"/>
    <w:rsid w:val="00B8466A"/>
    <w:rsid w:val="00BB1D77"/>
    <w:rsid w:val="00BB4294"/>
    <w:rsid w:val="00BF0512"/>
    <w:rsid w:val="00C10229"/>
    <w:rsid w:val="00C14AF3"/>
    <w:rsid w:val="00C50074"/>
    <w:rsid w:val="00C751BE"/>
    <w:rsid w:val="00C80216"/>
    <w:rsid w:val="00C87C21"/>
    <w:rsid w:val="00C92BFE"/>
    <w:rsid w:val="00C95A65"/>
    <w:rsid w:val="00CA4642"/>
    <w:rsid w:val="00CE4409"/>
    <w:rsid w:val="00D01766"/>
    <w:rsid w:val="00D103E2"/>
    <w:rsid w:val="00D24407"/>
    <w:rsid w:val="00D24CC7"/>
    <w:rsid w:val="00D6022A"/>
    <w:rsid w:val="00D75A63"/>
    <w:rsid w:val="00DB1596"/>
    <w:rsid w:val="00DB19E1"/>
    <w:rsid w:val="00DC1FD6"/>
    <w:rsid w:val="00DC63AF"/>
    <w:rsid w:val="00DE1750"/>
    <w:rsid w:val="00DE27C8"/>
    <w:rsid w:val="00DF0A5D"/>
    <w:rsid w:val="00DF276A"/>
    <w:rsid w:val="00E03BA4"/>
    <w:rsid w:val="00E21E07"/>
    <w:rsid w:val="00E266F6"/>
    <w:rsid w:val="00E505D5"/>
    <w:rsid w:val="00E5741A"/>
    <w:rsid w:val="00E63101"/>
    <w:rsid w:val="00E73107"/>
    <w:rsid w:val="00E8759A"/>
    <w:rsid w:val="00E92F11"/>
    <w:rsid w:val="00EA3F1C"/>
    <w:rsid w:val="00EA64D9"/>
    <w:rsid w:val="00EE0B90"/>
    <w:rsid w:val="00F030A8"/>
    <w:rsid w:val="00F210C1"/>
    <w:rsid w:val="00F43CA4"/>
    <w:rsid w:val="00F47439"/>
    <w:rsid w:val="00F66029"/>
    <w:rsid w:val="00F81BF3"/>
    <w:rsid w:val="00F8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F7583A-EF34-4E21-A7DC-546B3542B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  <w:style w:type="character" w:styleId="Hipercze">
    <w:name w:val="Hyperlink"/>
    <w:basedOn w:val="Domylnaczcionkaakapitu"/>
    <w:uiPriority w:val="99"/>
    <w:unhideWhenUsed/>
    <w:rsid w:val="005223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ABD6E-8C67-46D4-8F48-EDEBDBCBD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5</Pages>
  <Words>2168</Words>
  <Characters>13010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Bartosz Lewandowski</cp:lastModifiedBy>
  <cp:revision>102</cp:revision>
  <cp:lastPrinted>2015-07-16T06:58:00Z</cp:lastPrinted>
  <dcterms:created xsi:type="dcterms:W3CDTF">2013-08-23T05:18:00Z</dcterms:created>
  <dcterms:modified xsi:type="dcterms:W3CDTF">2015-07-16T06:58:00Z</dcterms:modified>
</cp:coreProperties>
</file>