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A82" w:rsidRPr="005E4B55" w:rsidRDefault="00404A82" w:rsidP="005E4B55">
      <w:pPr>
        <w:pStyle w:val="Bezodstpw"/>
        <w:spacing w:line="276" w:lineRule="auto"/>
        <w:ind w:firstLine="4820"/>
        <w:jc w:val="right"/>
        <w:rPr>
          <w:rFonts w:ascii="Times New Roman" w:hAnsi="Times New Roman" w:cs="Times New Roman"/>
          <w:sz w:val="26"/>
          <w:szCs w:val="26"/>
        </w:rPr>
      </w:pPr>
      <w:r w:rsidRPr="005E4B55">
        <w:rPr>
          <w:rFonts w:ascii="Times New Roman" w:hAnsi="Times New Roman" w:cs="Times New Roman"/>
          <w:sz w:val="26"/>
          <w:szCs w:val="26"/>
        </w:rPr>
        <w:t xml:space="preserve">Łubianka, dnia </w:t>
      </w:r>
      <w:r w:rsidR="00823A34" w:rsidRPr="005E4B55">
        <w:rPr>
          <w:rFonts w:ascii="Times New Roman" w:hAnsi="Times New Roman" w:cs="Times New Roman"/>
          <w:sz w:val="26"/>
          <w:szCs w:val="26"/>
        </w:rPr>
        <w:t>1</w:t>
      </w:r>
      <w:r w:rsidR="00565087">
        <w:rPr>
          <w:rFonts w:ascii="Times New Roman" w:hAnsi="Times New Roman" w:cs="Times New Roman"/>
          <w:sz w:val="26"/>
          <w:szCs w:val="26"/>
        </w:rPr>
        <w:t>7.10</w:t>
      </w:r>
      <w:r w:rsidR="00823A34" w:rsidRPr="005E4B55">
        <w:rPr>
          <w:rFonts w:ascii="Times New Roman" w:hAnsi="Times New Roman" w:cs="Times New Roman"/>
          <w:sz w:val="26"/>
          <w:szCs w:val="26"/>
        </w:rPr>
        <w:t xml:space="preserve">.2014 </w:t>
      </w:r>
      <w:r w:rsidRPr="005E4B55">
        <w:rPr>
          <w:rFonts w:ascii="Times New Roman" w:hAnsi="Times New Roman" w:cs="Times New Roman"/>
          <w:sz w:val="26"/>
          <w:szCs w:val="26"/>
        </w:rPr>
        <w:t>r.</w:t>
      </w:r>
      <w:bookmarkStart w:id="0" w:name="_GoBack"/>
      <w:bookmarkEnd w:id="0"/>
    </w:p>
    <w:p w:rsidR="004C70D5" w:rsidRPr="005E4B55" w:rsidRDefault="004C70D5" w:rsidP="005E4B55">
      <w:pPr>
        <w:rPr>
          <w:rFonts w:ascii="Times New Roman" w:hAnsi="Times New Roman" w:cs="Times New Roman"/>
          <w:sz w:val="26"/>
          <w:szCs w:val="26"/>
        </w:rPr>
      </w:pPr>
    </w:p>
    <w:p w:rsidR="00AB7602" w:rsidRPr="005E4B55" w:rsidRDefault="00730038" w:rsidP="005E4B55">
      <w:pPr>
        <w:rPr>
          <w:rFonts w:ascii="Times New Roman" w:hAnsi="Times New Roman" w:cs="Times New Roman"/>
          <w:b/>
          <w:sz w:val="26"/>
          <w:szCs w:val="26"/>
        </w:rPr>
      </w:pPr>
      <w:r w:rsidRPr="005E4B55">
        <w:rPr>
          <w:rFonts w:ascii="Times New Roman" w:hAnsi="Times New Roman" w:cs="Times New Roman"/>
          <w:sz w:val="26"/>
          <w:szCs w:val="26"/>
        </w:rPr>
        <w:t>ROŚ.6220.2</w:t>
      </w:r>
      <w:r w:rsidR="00DE1750" w:rsidRPr="005E4B55">
        <w:rPr>
          <w:rFonts w:ascii="Times New Roman" w:hAnsi="Times New Roman" w:cs="Times New Roman"/>
          <w:sz w:val="26"/>
          <w:szCs w:val="26"/>
        </w:rPr>
        <w:t>.</w:t>
      </w:r>
      <w:r w:rsidR="00823A34" w:rsidRPr="005E4B55">
        <w:rPr>
          <w:rFonts w:ascii="Times New Roman" w:hAnsi="Times New Roman" w:cs="Times New Roman"/>
          <w:sz w:val="26"/>
          <w:szCs w:val="26"/>
        </w:rPr>
        <w:t>2.2014</w:t>
      </w:r>
    </w:p>
    <w:p w:rsidR="00A54F3B" w:rsidRPr="005E4B55" w:rsidRDefault="00A54F3B" w:rsidP="005E4B55">
      <w:pPr>
        <w:jc w:val="center"/>
        <w:rPr>
          <w:rFonts w:ascii="Times New Roman" w:hAnsi="Times New Roman" w:cs="Times New Roman"/>
          <w:b/>
          <w:sz w:val="26"/>
          <w:szCs w:val="26"/>
        </w:rPr>
      </w:pPr>
      <w:r w:rsidRPr="005E4B55">
        <w:rPr>
          <w:rFonts w:ascii="Times New Roman" w:hAnsi="Times New Roman" w:cs="Times New Roman"/>
          <w:b/>
          <w:sz w:val="26"/>
          <w:szCs w:val="26"/>
        </w:rPr>
        <w:t>DECYZJA</w:t>
      </w:r>
    </w:p>
    <w:p w:rsidR="00A54F3B" w:rsidRPr="005E4B55" w:rsidRDefault="00A54F3B" w:rsidP="005E4B55">
      <w:pPr>
        <w:jc w:val="center"/>
        <w:rPr>
          <w:rFonts w:ascii="Times New Roman" w:hAnsi="Times New Roman" w:cs="Times New Roman"/>
          <w:b/>
          <w:sz w:val="26"/>
          <w:szCs w:val="26"/>
        </w:rPr>
      </w:pPr>
      <w:r w:rsidRPr="005E4B55">
        <w:rPr>
          <w:rFonts w:ascii="Times New Roman" w:hAnsi="Times New Roman" w:cs="Times New Roman"/>
          <w:b/>
          <w:sz w:val="26"/>
          <w:szCs w:val="26"/>
        </w:rPr>
        <w:t>o środowiskowych uwarunkowaniach</w:t>
      </w:r>
    </w:p>
    <w:p w:rsidR="005E4B55" w:rsidRPr="005E4B55" w:rsidRDefault="00A54F3B" w:rsidP="005E4B55">
      <w:pPr>
        <w:pStyle w:val="Bezodstpw"/>
        <w:spacing w:line="276" w:lineRule="auto"/>
        <w:jc w:val="both"/>
        <w:rPr>
          <w:rFonts w:ascii="Times New Roman" w:eastAsia="Times New Roman" w:hAnsi="Times New Roman" w:cs="Times New Roman"/>
          <w:b/>
          <w:bCs/>
          <w:sz w:val="26"/>
          <w:szCs w:val="26"/>
          <w:lang w:eastAsia="pl-PL"/>
        </w:rPr>
      </w:pPr>
      <w:r w:rsidRPr="005E4B55">
        <w:rPr>
          <w:rFonts w:ascii="Times New Roman" w:eastAsia="Times New Roman" w:hAnsi="Times New Roman" w:cs="Times New Roman"/>
          <w:sz w:val="26"/>
          <w:szCs w:val="26"/>
          <w:lang w:eastAsia="pl-PL"/>
        </w:rPr>
        <w:t xml:space="preserve">             Na podstawie art. 104 ustawy z dnia 14 czerwca 1960r. Kodeks postępowania administracyjnego (Dz. U. z 2013 r., poz. 267 ,</w:t>
      </w:r>
      <w:proofErr w:type="spellStart"/>
      <w:r w:rsidRPr="005E4B55">
        <w:rPr>
          <w:rFonts w:ascii="Times New Roman" w:eastAsia="Times New Roman" w:hAnsi="Times New Roman" w:cs="Times New Roman"/>
          <w:sz w:val="26"/>
          <w:szCs w:val="26"/>
          <w:lang w:eastAsia="pl-PL"/>
        </w:rPr>
        <w:t>t.j</w:t>
      </w:r>
      <w:proofErr w:type="spellEnd"/>
      <w:r w:rsidRPr="005E4B55">
        <w:rPr>
          <w:rFonts w:ascii="Times New Roman" w:eastAsia="Times New Roman" w:hAnsi="Times New Roman" w:cs="Times New Roman"/>
          <w:sz w:val="26"/>
          <w:szCs w:val="26"/>
          <w:lang w:eastAsia="pl-PL"/>
        </w:rPr>
        <w:t xml:space="preserve">.) w związku z art. 71 ust 2 </w:t>
      </w:r>
      <w:r w:rsidR="00730038" w:rsidRPr="005E4B55">
        <w:rPr>
          <w:rFonts w:ascii="Times New Roman" w:eastAsia="Times New Roman" w:hAnsi="Times New Roman" w:cs="Times New Roman"/>
          <w:sz w:val="26"/>
          <w:szCs w:val="26"/>
          <w:lang w:eastAsia="pl-PL"/>
        </w:rPr>
        <w:t>pkt. 2</w:t>
      </w:r>
      <w:r w:rsidRPr="005E4B55">
        <w:rPr>
          <w:rFonts w:ascii="Times New Roman" w:eastAsia="Times New Roman" w:hAnsi="Times New Roman" w:cs="Times New Roman"/>
          <w:sz w:val="26"/>
          <w:szCs w:val="26"/>
          <w:lang w:eastAsia="pl-PL"/>
        </w:rPr>
        <w:t>, art. 75 ust. 1 pkt. 4 oraz art. 84 ustawy z dnia 3 października 2008 r. o udostępnianiu informacji o środowisku i jego ochronie, udziale społeczeństwa w ochronie środowiska oraz o ocenach oddziaływania na środowisko (Dz.U.2013.1235 j.t.),</w:t>
      </w:r>
      <w:r w:rsidRPr="005E4B55">
        <w:rPr>
          <w:rFonts w:ascii="Times New Roman" w:hAnsi="Times New Roman" w:cs="Times New Roman"/>
          <w:sz w:val="26"/>
          <w:szCs w:val="26"/>
        </w:rPr>
        <w:t xml:space="preserve"> </w:t>
      </w:r>
      <w:r w:rsidR="00C20A97" w:rsidRPr="005E4B55">
        <w:rPr>
          <w:rFonts w:ascii="Times New Roman" w:hAnsi="Times New Roman" w:cs="Times New Roman"/>
          <w:sz w:val="26"/>
          <w:szCs w:val="26"/>
        </w:rPr>
        <w:t>a także §</w:t>
      </w:r>
      <w:r w:rsidR="00823A34" w:rsidRPr="005E4B55">
        <w:rPr>
          <w:rFonts w:ascii="Times New Roman" w:hAnsi="Times New Roman" w:cs="Times New Roman"/>
          <w:sz w:val="26"/>
          <w:szCs w:val="26"/>
        </w:rPr>
        <w:t xml:space="preserve"> 3 ust. 1</w:t>
      </w:r>
      <w:r w:rsidR="00C20A97" w:rsidRPr="005E4B55">
        <w:rPr>
          <w:rFonts w:ascii="Times New Roman" w:hAnsi="Times New Roman" w:cs="Times New Roman"/>
          <w:sz w:val="26"/>
          <w:szCs w:val="26"/>
        </w:rPr>
        <w:t xml:space="preserve"> pkt </w:t>
      </w:r>
      <w:r w:rsidR="00823A34" w:rsidRPr="005E4B55">
        <w:rPr>
          <w:rFonts w:ascii="Times New Roman" w:hAnsi="Times New Roman" w:cs="Times New Roman"/>
          <w:sz w:val="26"/>
          <w:szCs w:val="26"/>
        </w:rPr>
        <w:t>10</w:t>
      </w:r>
      <w:r w:rsidR="00C20A97" w:rsidRPr="005E4B55">
        <w:rPr>
          <w:rFonts w:ascii="Times New Roman" w:hAnsi="Times New Roman" w:cs="Times New Roman"/>
          <w:sz w:val="26"/>
          <w:szCs w:val="26"/>
        </w:rPr>
        <w:t>2 rozporządzenia Rady Ministrów z dnia 9 listopada 2010r. w sprawie przedsięwzięć mogących znacząco oddziaływać na środowisko (Dz. U. z 2010r. Nr 213 poz. 1397 ze zm.),  po rozpatrzeniu wniosku</w:t>
      </w:r>
      <w:r w:rsidR="00823A34" w:rsidRPr="005E4B55">
        <w:rPr>
          <w:rFonts w:ascii="Times New Roman" w:hAnsi="Times New Roman" w:cs="Times New Roman"/>
          <w:sz w:val="26"/>
          <w:szCs w:val="26"/>
        </w:rPr>
        <w:t xml:space="preserve"> z dnia 4.03.2014 r., uzupełniony w dniu 18.03.2014 r. Pana Marka Blachowskiego, Brąchnowo, ul. Św. Floriana 4, 87-152 Łubianka</w:t>
      </w:r>
      <w:r w:rsidR="00C20A97" w:rsidRPr="005E4B55">
        <w:rPr>
          <w:rFonts w:ascii="Times New Roman" w:hAnsi="Times New Roman" w:cs="Times New Roman"/>
          <w:sz w:val="26"/>
          <w:szCs w:val="26"/>
        </w:rPr>
        <w:t>.</w:t>
      </w:r>
      <w:r w:rsidR="00404A82" w:rsidRPr="005E4B55">
        <w:rPr>
          <w:rFonts w:ascii="Times New Roman" w:eastAsia="Times New Roman" w:hAnsi="Times New Roman" w:cs="Times New Roman"/>
          <w:b/>
          <w:bCs/>
          <w:sz w:val="26"/>
          <w:szCs w:val="26"/>
          <w:lang w:eastAsia="pl-PL"/>
        </w:rPr>
        <w:t xml:space="preserve">                  </w:t>
      </w:r>
      <w:r w:rsidR="00217F08" w:rsidRPr="005E4B55">
        <w:rPr>
          <w:rFonts w:ascii="Times New Roman" w:eastAsia="Times New Roman" w:hAnsi="Times New Roman" w:cs="Times New Roman"/>
          <w:b/>
          <w:bCs/>
          <w:sz w:val="26"/>
          <w:szCs w:val="26"/>
          <w:lang w:eastAsia="pl-PL"/>
        </w:rPr>
        <w:t xml:space="preserve">                </w:t>
      </w:r>
      <w:r w:rsidR="00217F08" w:rsidRPr="005E4B55">
        <w:rPr>
          <w:rFonts w:ascii="Times New Roman" w:eastAsia="Times New Roman" w:hAnsi="Times New Roman" w:cs="Times New Roman"/>
          <w:b/>
          <w:bCs/>
          <w:sz w:val="26"/>
          <w:szCs w:val="26"/>
          <w:lang w:eastAsia="pl-PL"/>
        </w:rPr>
        <w:tab/>
      </w:r>
      <w:r w:rsidR="00404A82" w:rsidRPr="005E4B55">
        <w:rPr>
          <w:rFonts w:ascii="Times New Roman" w:eastAsia="Times New Roman" w:hAnsi="Times New Roman" w:cs="Times New Roman"/>
          <w:b/>
          <w:bCs/>
          <w:sz w:val="26"/>
          <w:szCs w:val="26"/>
          <w:lang w:eastAsia="pl-PL"/>
        </w:rPr>
        <w:t xml:space="preserve">    </w:t>
      </w:r>
    </w:p>
    <w:p w:rsidR="00404A82" w:rsidRPr="005E4B55" w:rsidRDefault="00404A82" w:rsidP="005E4B55">
      <w:pPr>
        <w:pStyle w:val="Bezodstpw"/>
        <w:spacing w:line="276" w:lineRule="auto"/>
        <w:ind w:left="2124" w:firstLine="708"/>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b/>
          <w:bCs/>
          <w:sz w:val="26"/>
          <w:szCs w:val="26"/>
          <w:lang w:eastAsia="pl-PL"/>
        </w:rPr>
        <w:t>stwierdzam brak potrzeby</w:t>
      </w:r>
    </w:p>
    <w:p w:rsidR="00404A82" w:rsidRPr="005E4B55" w:rsidRDefault="00404A82" w:rsidP="005E4B55">
      <w:pPr>
        <w:pStyle w:val="Bezodstpw"/>
        <w:spacing w:line="276" w:lineRule="auto"/>
        <w:jc w:val="center"/>
        <w:rPr>
          <w:rFonts w:ascii="Times New Roman" w:eastAsia="Times New Roman" w:hAnsi="Times New Roman" w:cs="Times New Roman"/>
          <w:b/>
          <w:bCs/>
          <w:sz w:val="26"/>
          <w:szCs w:val="26"/>
          <w:lang w:eastAsia="pl-PL"/>
        </w:rPr>
      </w:pPr>
      <w:r w:rsidRPr="005E4B55">
        <w:rPr>
          <w:rFonts w:ascii="Times New Roman" w:eastAsia="Times New Roman" w:hAnsi="Times New Roman" w:cs="Times New Roman"/>
          <w:b/>
          <w:bCs/>
          <w:sz w:val="26"/>
          <w:szCs w:val="26"/>
          <w:lang w:eastAsia="pl-PL"/>
        </w:rPr>
        <w:t>przeprowadzenia oceny oddziaływania na środowisko</w:t>
      </w:r>
    </w:p>
    <w:p w:rsidR="00823A34" w:rsidRPr="005E4B55" w:rsidRDefault="00823A34" w:rsidP="005E4B55">
      <w:pPr>
        <w:pStyle w:val="Bezodstpw"/>
        <w:spacing w:line="276" w:lineRule="auto"/>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dla przedsięwzięcia pn. : </w:t>
      </w:r>
      <w:r w:rsidRPr="005E4B55">
        <w:rPr>
          <w:rFonts w:ascii="Times New Roman" w:eastAsia="Times New Roman" w:hAnsi="Times New Roman" w:cs="Times New Roman"/>
          <w:b/>
          <w:sz w:val="26"/>
          <w:szCs w:val="26"/>
          <w:lang w:eastAsia="pl-PL"/>
        </w:rPr>
        <w:t>„Budowa budynku inwentarskiego obory o obsadzie 135 DJP, zbiornika na nieczystości ciekłe o poj. 9,5m3,na działce nr geod. 169, położonej w Brąchnowo, gmina Łubianka”</w:t>
      </w:r>
    </w:p>
    <w:p w:rsidR="00823A34" w:rsidRPr="005E4B55" w:rsidRDefault="00823A34" w:rsidP="005E4B55">
      <w:pPr>
        <w:pStyle w:val="Bezodstpw"/>
        <w:spacing w:line="276" w:lineRule="auto"/>
        <w:jc w:val="center"/>
        <w:rPr>
          <w:rFonts w:ascii="Times New Roman" w:eastAsia="Times New Roman" w:hAnsi="Times New Roman" w:cs="Times New Roman"/>
          <w:b/>
          <w:sz w:val="26"/>
          <w:szCs w:val="26"/>
          <w:lang w:eastAsia="pl-PL"/>
        </w:rPr>
      </w:pPr>
    </w:p>
    <w:p w:rsidR="00404A82" w:rsidRPr="005E4B55" w:rsidRDefault="00404A82" w:rsidP="005E4B55">
      <w:pPr>
        <w:pStyle w:val="Bezodstpw"/>
        <w:spacing w:line="276" w:lineRule="auto"/>
        <w:jc w:val="center"/>
        <w:rPr>
          <w:rFonts w:ascii="Times New Roman" w:eastAsia="Times New Roman" w:hAnsi="Times New Roman" w:cs="Times New Roman"/>
          <w:b/>
          <w:sz w:val="26"/>
          <w:szCs w:val="26"/>
          <w:lang w:eastAsia="pl-PL"/>
        </w:rPr>
      </w:pPr>
      <w:r w:rsidRPr="005E4B55">
        <w:rPr>
          <w:rFonts w:ascii="Times New Roman" w:eastAsia="Times New Roman" w:hAnsi="Times New Roman" w:cs="Times New Roman"/>
          <w:b/>
          <w:sz w:val="26"/>
          <w:szCs w:val="26"/>
          <w:lang w:eastAsia="pl-PL"/>
        </w:rPr>
        <w:t>UZASADNIENIE</w:t>
      </w:r>
    </w:p>
    <w:p w:rsidR="00823A34" w:rsidRPr="005E4B55" w:rsidRDefault="00AB7602" w:rsidP="005E4B55">
      <w:pPr>
        <w:pStyle w:val="Bezodstpw"/>
        <w:spacing w:line="276" w:lineRule="auto"/>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r>
      <w:r w:rsidR="00217F08" w:rsidRPr="005E4B55">
        <w:rPr>
          <w:rFonts w:ascii="Times New Roman" w:eastAsia="Times New Roman" w:hAnsi="Times New Roman" w:cs="Times New Roman"/>
          <w:sz w:val="26"/>
          <w:szCs w:val="26"/>
          <w:lang w:eastAsia="pl-PL"/>
        </w:rPr>
        <w:tab/>
      </w:r>
      <w:r w:rsidR="00823A34" w:rsidRPr="005E4B55">
        <w:rPr>
          <w:rFonts w:ascii="Times New Roman" w:eastAsia="Times New Roman" w:hAnsi="Times New Roman" w:cs="Times New Roman"/>
          <w:sz w:val="26"/>
          <w:szCs w:val="26"/>
          <w:lang w:eastAsia="pl-PL"/>
        </w:rPr>
        <w:t>Dnia 4.03.2013 r. Pan Marek Blachowski, Brąchnowo, ul. Św. Floriana 4, 87-152 Łubianka zwrócił się z wnioskiem o wydanie decyzji o środowiskowych uwarunkowań zgody na realizację przedsięwzięcia pn.: „Budowa budynku inwentarskiego obory o obsadzie 135 DJP, zbiornika na nieczystości ciekłe o poj. 9,5m3,na działce nr geod. 169, położonej w Brąchnowo, gmina Łubianka”</w:t>
      </w:r>
    </w:p>
    <w:p w:rsidR="00823A34" w:rsidRPr="005E4B55" w:rsidRDefault="00823A34" w:rsidP="005E4B55">
      <w:pPr>
        <w:pStyle w:val="Bezodstpw"/>
        <w:spacing w:line="276" w:lineRule="auto"/>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 xml:space="preserve">Na podstawie art. 64 ust. 1 pkt. 1 i 2 ustawy z dnia 3 października 2008r. o udostępnianiu informacji o środowisku i jego ochronie, udziale społeczeństwa w ochronie środowiska oraz o ocenach oddziaływania na środowisko, Wójt Gminy Łubianka pismem znak ROŚ.6220.2.2014 z dnia 18.03.2014 r. wystąpił do Regionalnego Dyrektora Ochrony Środowiska w Bydgoszczy i Państwowego Powiatowego Inspektora Sanitarnego w Toruniu o wydanie opinii w sprawie obowiązku przeprowadzenia oceny oddziaływania na środowisko przedmiotowej inwestycji.                                           </w:t>
      </w:r>
    </w:p>
    <w:p w:rsidR="00823A34" w:rsidRPr="005E4B55" w:rsidRDefault="00823A34" w:rsidP="005E4B55">
      <w:pPr>
        <w:pStyle w:val="Bezodstpw"/>
        <w:spacing w:line="276" w:lineRule="auto"/>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 xml:space="preserve">Państwowy Powiatowy Inspektor Sanitarny w Toruniu opinią (znak N.NZ.40.2.9.2.2014) z dnia 20.05.2014 r. uznał, że dla powyższego przedsięwzięcia nie ma konieczności przeprowadzenia oceny oddziaływania na środowisko. </w:t>
      </w:r>
    </w:p>
    <w:p w:rsidR="00823A34" w:rsidRPr="005E4B55" w:rsidRDefault="00823A34" w:rsidP="005E4B55">
      <w:pPr>
        <w:pStyle w:val="Bezodstpw"/>
        <w:spacing w:line="276" w:lineRule="auto"/>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lastRenderedPageBreak/>
        <w:tab/>
        <w:t>Regionalny Dyrektor Ochrony Środowiska w Bydgoszczy wezwał inwestora do uzupełnienia karty informacyjnej przedsięwzięcia (pismem znak WOO.4240.220.2014.MD1 z dnia 23.04.2014 r.). Inwestor uzupełnił kartę informacyjną zgodnie z otrzymanym wezwaniem (pismem z dnia 13.05.2014 r.).</w:t>
      </w:r>
    </w:p>
    <w:p w:rsidR="00823A34" w:rsidRPr="005E4B55" w:rsidRDefault="00823A34" w:rsidP="005E4B55">
      <w:pPr>
        <w:pStyle w:val="Bezodstpw"/>
        <w:spacing w:line="276" w:lineRule="auto"/>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Regionalny Dyrektor Ochrony Środowiska w Bydgoszczy postanowieniem znak WOO.4240.220.2014.MD1.2 z dnia 4.06.2014r. wyraził opinię, że dla ww. przedsięwzięcia nie istnieje  konieczność przeprowadzenia oceny oddziaływania na środowisko.</w:t>
      </w:r>
    </w:p>
    <w:p w:rsidR="00BC2E8A" w:rsidRPr="005E4B55" w:rsidRDefault="00C20A97" w:rsidP="005E4B55">
      <w:pPr>
        <w:pStyle w:val="Bezodstpw"/>
        <w:spacing w:line="276" w:lineRule="auto"/>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 </w:t>
      </w:r>
      <w:r w:rsidR="00BC2E8A" w:rsidRPr="005E4B55">
        <w:rPr>
          <w:rFonts w:ascii="Times New Roman" w:eastAsia="Times New Roman" w:hAnsi="Times New Roman" w:cs="Times New Roman"/>
          <w:sz w:val="26"/>
          <w:szCs w:val="26"/>
          <w:lang w:eastAsia="pl-PL"/>
        </w:rPr>
        <w:tab/>
      </w:r>
      <w:r w:rsidR="00823A34" w:rsidRPr="005E4B55">
        <w:rPr>
          <w:rFonts w:ascii="Times New Roman" w:eastAsia="Times New Roman" w:hAnsi="Times New Roman" w:cs="Times New Roman"/>
          <w:sz w:val="26"/>
          <w:szCs w:val="26"/>
          <w:lang w:eastAsia="pl-PL"/>
        </w:rPr>
        <w:t>Postanowieniem z dnia 31</w:t>
      </w:r>
      <w:r w:rsidR="00105D97" w:rsidRPr="005E4B55">
        <w:rPr>
          <w:rFonts w:ascii="Times New Roman" w:eastAsia="Times New Roman" w:hAnsi="Times New Roman" w:cs="Times New Roman"/>
          <w:sz w:val="26"/>
          <w:szCs w:val="26"/>
          <w:lang w:eastAsia="pl-PL"/>
        </w:rPr>
        <w:t>.0</w:t>
      </w:r>
      <w:r w:rsidR="00823A34" w:rsidRPr="005E4B55">
        <w:rPr>
          <w:rFonts w:ascii="Times New Roman" w:eastAsia="Times New Roman" w:hAnsi="Times New Roman" w:cs="Times New Roman"/>
          <w:sz w:val="26"/>
          <w:szCs w:val="26"/>
          <w:lang w:eastAsia="pl-PL"/>
        </w:rPr>
        <w:t>7</w:t>
      </w:r>
      <w:r w:rsidR="004930C6" w:rsidRPr="005E4B55">
        <w:rPr>
          <w:rFonts w:ascii="Times New Roman" w:eastAsia="Times New Roman" w:hAnsi="Times New Roman" w:cs="Times New Roman"/>
          <w:sz w:val="26"/>
          <w:szCs w:val="26"/>
          <w:lang w:eastAsia="pl-PL"/>
        </w:rPr>
        <w:t>.2014</w:t>
      </w:r>
      <w:r w:rsidR="00BC2E8A" w:rsidRPr="005E4B55">
        <w:rPr>
          <w:rFonts w:ascii="Times New Roman" w:eastAsia="Times New Roman" w:hAnsi="Times New Roman" w:cs="Times New Roman"/>
          <w:sz w:val="26"/>
          <w:szCs w:val="26"/>
          <w:lang w:eastAsia="pl-PL"/>
        </w:rPr>
        <w:t xml:space="preserve">r. znak </w:t>
      </w:r>
      <w:r w:rsidR="00823A34" w:rsidRPr="005E4B55">
        <w:rPr>
          <w:rFonts w:ascii="Times New Roman" w:eastAsia="Times New Roman" w:hAnsi="Times New Roman" w:cs="Times New Roman"/>
          <w:sz w:val="26"/>
          <w:szCs w:val="26"/>
          <w:lang w:eastAsia="pl-PL"/>
        </w:rPr>
        <w:t>ROŚ.6220.2.1.2014</w:t>
      </w:r>
      <w:r w:rsidRPr="005E4B55">
        <w:rPr>
          <w:rFonts w:ascii="Times New Roman" w:eastAsia="Times New Roman" w:hAnsi="Times New Roman" w:cs="Times New Roman"/>
          <w:sz w:val="26"/>
          <w:szCs w:val="26"/>
          <w:lang w:eastAsia="pl-PL"/>
        </w:rPr>
        <w:t xml:space="preserve"> </w:t>
      </w:r>
      <w:r w:rsidR="00BC2E8A" w:rsidRPr="005E4B55">
        <w:rPr>
          <w:rFonts w:ascii="Times New Roman" w:eastAsia="Times New Roman" w:hAnsi="Times New Roman" w:cs="Times New Roman"/>
          <w:sz w:val="26"/>
          <w:szCs w:val="26"/>
          <w:lang w:eastAsia="pl-PL"/>
        </w:rPr>
        <w:t>Wójt Gminy Łubianka stwierdził brak potrzeby przeprowadzenia oceny oddziaływania na środowisko dla ww. planowanej inwestycji.</w:t>
      </w:r>
    </w:p>
    <w:p w:rsidR="00823A34" w:rsidRPr="005E4B55" w:rsidRDefault="00AB7602" w:rsidP="005E4B55">
      <w:pPr>
        <w:pStyle w:val="Bezodstpw"/>
        <w:spacing w:line="276" w:lineRule="auto"/>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r>
      <w:r w:rsidR="00E92F11" w:rsidRPr="005E4B55">
        <w:rPr>
          <w:rFonts w:ascii="Times New Roman" w:eastAsia="Times New Roman" w:hAnsi="Times New Roman" w:cs="Times New Roman"/>
          <w:sz w:val="26"/>
          <w:szCs w:val="26"/>
          <w:lang w:eastAsia="pl-PL"/>
        </w:rPr>
        <w:tab/>
      </w:r>
      <w:r w:rsidR="00823A34" w:rsidRPr="005E4B55">
        <w:rPr>
          <w:rFonts w:ascii="Times New Roman" w:eastAsia="Times New Roman" w:hAnsi="Times New Roman" w:cs="Times New Roman"/>
          <w:sz w:val="26"/>
          <w:szCs w:val="26"/>
          <w:lang w:eastAsia="pl-PL"/>
        </w:rPr>
        <w:t>Przedmiotową inwestycję  zakwalifikowano do rodzaju przedsięwzięć, dla których raport może być wymagany, zgodnie z §3 ust. 1 pkt 102 ww. rozporządzenia Rady Ministrów z dnia 9 listopada 2010 r., cyt.: „chów lub hodowla zwierząt, inne niż wymienione w § ust. 1 pkt 51, w liczbie nie mniejszej niż 60 dużych jednostek przeliczeniowych inwentarza (DJP)”.</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W odniesieniu do uwarunkowań wymienionych w art. 63 ust. 1 ww. ustawy z dnia 3 października 2008 r. o udostępnianiu   informacji o środowisku i jego ochronie, udziale społeczeństwa w ochronie środowisko oraz ocenach oddziaływania na środowisko, tutejszy Organ przeanalizował rodzaj i charakter planowanej inwestycji, usytuowanej  przedsięwzięcia, zważywszy na możliwe zagrożenia  dla środowiska,  jak również rodzaj i skalę możliwego oddziaływania.</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Na powyższy teren brak jest zapisów miejscowego planu zagospodarowania przestrzennego gminy.  Zgodnie z obowiązującą dokumentacją Studium uwarunkowań i kierunków zagospodarowania przestrzennego gminy Łubianka w/w działka znajduje się na terenach rolnych.</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Rodzaj i charakterystyka przedsięwzięcia z uwzględnieniem:</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w:t>
      </w:r>
      <w:r w:rsidRPr="005E4B55">
        <w:rPr>
          <w:rFonts w:ascii="Times New Roman" w:eastAsia="Times New Roman" w:hAnsi="Times New Roman" w:cs="Times New Roman"/>
          <w:sz w:val="26"/>
          <w:szCs w:val="26"/>
          <w:lang w:eastAsia="pl-PL"/>
        </w:rPr>
        <w:tab/>
        <w:t>skali przedsięwzięcia i wielkości zajmowanego terenu oraz ich wzajemnych proporcji.</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Na podstawie całej zgromadzonej w przedmiotowej sprawie dokumentacji stwierdzono, iż zamierzenia polega na budowie nowej obory, przeznaczonej dla bydła mlecznego w ilości 135 DJP, wraz ze zbiornikiem na nieczystości ciekłe. Na analizowanym terenie powierzchni znajduje się budynek mieszkalny Inwestora, obiekty inwentarskie oraz infrastruktura towarzysząca. Realizacja przedsięwzięcia umożliwia zmechanizowanie obsługi zwierząt oraz poprawi warunki sanitarne produkcji mleka. W chwili obecnej Inwestor jest właścicielem gospodarstwa rolnego i prowadzi hodowlę bydła mlecznego o obsadzie 120 DJP. Nowe obiekty pozwolą na zahamowanie wymaganego dobrostanu dotyczącego właściwej wentylacji , oświetlenia oraz wielkości i powierzchni kojców, stanowisk, korytarzy oraz pomieszczeń sanitarnych. Po zrealizowaniu inwestycji bydło – dorosłe, z budynków inwestorskich </w:t>
      </w:r>
      <w:r w:rsidRPr="005E4B55">
        <w:rPr>
          <w:rFonts w:ascii="Times New Roman" w:eastAsia="Times New Roman" w:hAnsi="Times New Roman" w:cs="Times New Roman"/>
          <w:sz w:val="26"/>
          <w:szCs w:val="26"/>
          <w:lang w:eastAsia="pl-PL"/>
        </w:rPr>
        <w:lastRenderedPageBreak/>
        <w:t>przeniesione zostanie do nowej obory, a jałowizna i cielęta pozostaną w obecnych budynkach (chów na głębokiej ściółce) 27 DJP. Całkowita obsada gospodarstwa po zrealizowaniu inwestycji wyniesie 162 DJP.</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b)</w:t>
      </w:r>
      <w:r w:rsidRPr="005E4B55">
        <w:rPr>
          <w:rFonts w:ascii="Times New Roman" w:eastAsia="Times New Roman" w:hAnsi="Times New Roman" w:cs="Times New Roman"/>
          <w:sz w:val="26"/>
          <w:szCs w:val="26"/>
          <w:lang w:eastAsia="pl-PL"/>
        </w:rPr>
        <w:tab/>
        <w:t>powiązania z innymi przedsięwzięciami, w szczególności kumulowania się oddziaływań.</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Zgodnie z przedłożoną dokumentacją na w/w terenie funkcjonuje gospodarstwo z hodowlą bydła mlecznego o obsadzie 120 DJP. Obecnie planuje się budowę nowej obory bez ściółkowej na rusztach o obsadzie 135 DJ wraz z podziemnymi kanałami  na gnojowicę o objętości 2.250 m3 i zbiornik na nieczystości ciekłe o pojemności  9,5 m3. Całkowita obsada po zrealizowaniu inwestycji wyniesie 162 DJP. Wybudowanie nowej obory poprawi warunki sanitarne produkcji mleka i zapewni zachowanie wymaganego dobrostanu bydła. Dorosłe krowy zostaną  przeniesione do nowego budynku a jałowizna i cielęta pozostaną w istniejącym budynku. Obornik będzie przechowywany na płycie i wywożony na pole właściciela 2 razy do roku. Inwestor posiada areał  o powierzchni  78,34 ha, który będzie nawożony w ilości 166.16 kg N/ha.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Analizując przedłożone dokumenty stwierdzono, że na przedmiotowym obszarze oddziaływania skumulowane  obserwowane będą głównie w powietrzu i hałasie, gdzie znajdą reakcje pomiędzy różnymi substancjami zanieczyszczającymi. Na etapie  eksploatacji, w odniesieniu do terenów sąsiednich, oddziaływanie  skumulowane  nie powinno wystąpić.</w:t>
      </w:r>
    </w:p>
    <w:p w:rsidR="00823A34" w:rsidRPr="005E4B55" w:rsidRDefault="00823A34" w:rsidP="005E4B55">
      <w:pPr>
        <w:spacing w:after="0"/>
        <w:jc w:val="both"/>
        <w:rPr>
          <w:rFonts w:ascii="Times New Roman" w:eastAsia="Times New Roman" w:hAnsi="Times New Roman" w:cs="Times New Roman"/>
          <w:sz w:val="26"/>
          <w:szCs w:val="26"/>
          <w:lang w:eastAsia="pl-PL"/>
        </w:rPr>
      </w:pP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c)</w:t>
      </w:r>
      <w:r w:rsidRPr="005E4B55">
        <w:rPr>
          <w:rFonts w:ascii="Times New Roman" w:eastAsia="Times New Roman" w:hAnsi="Times New Roman" w:cs="Times New Roman"/>
          <w:sz w:val="26"/>
          <w:szCs w:val="26"/>
          <w:lang w:eastAsia="pl-PL"/>
        </w:rPr>
        <w:tab/>
        <w:t>wykorzystania zasobów naturalnych, emisji i wystąpienia innych uciążliwości.</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Na etapie realizacji przedsięwzięcia, prace budowlano-montażowe spowodują okresowe uciążliwości takie jak podwyższony poziom hałasu, emisję zanieczyszczeń, odpady.</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Źródłem hałasu na etapie realizacji będzie praca typowych maszyn wykorzystywanych przy tego typu robotach budowlanych. Emisja niezorganizowana zanieczyszczeń do powietrza będzie związana z prowadzeniem prac ziemnych, a także z ruchem pojazdów i maszyn. Dla zminimalizowania ww. uciążliwości, wszystkie prace powinny  zostać wykonane z należytą dbałością i ostrożnością, wyłącznie w porze dziennej.</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Potencjalnie zagrożenie dla wód  gruntowych mogą stanowić  awarię sprzętu , maszyn budowlanych i środków transportu – wycieki paliwa, oleju, płynów eksploatacyjnych . Wszelkie  czynności należy wykonać ze szczególną dbałością i ostrożnością, a używany sprzęt powinien być sprawny technicznie.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Hałas na etapie użytkowania przedsięwzięcia związany będzie z pracą maszyn i  urządzeń wykorzystywanych przy produkcji zwierzęcej (urządzenia do udoju), a także z pracą pojazdów poruszających się na ternie zakładu.</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Inwestor nie planuje zainstalowania wentylacji mechanicznej ściennej, w budynku zastosowany zostanie system wentylacji grawitacyjnej, w celu utrzymania właściwej temperatury i wymiany powietrza.</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lastRenderedPageBreak/>
        <w:tab/>
        <w:t>Przewiduje się, iż poziom hałasu spowodowany funkcjonowaniem przedmiotowej obory, nie będzie uciążliwy  dla otoczenia, a zasięg uciążliwości spowodowanej emisją hałasu nie powinien powodować przekroczenia norm na terenie najbliższej zabudowy zagrodowej.</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Oddziaływanie planowanego przedsięwzięcia na powietrze atmosferyczne związane będzie z emisją pyłu, substancji gazowych z obory, a także z pojazdów związanych z obsługą budynku inwentarskiego. Planowany obiekt nie będzie ogrzewany oraz zostanie wyposażony wyłącznie w system wentylacji grawitacyjnej.</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Odpady powstałe na etapie realizacji będą magazynowe w sposób selektywny, w wydzielonym miejscu , w odpowiednich pojemnikach, a następnie przekazywane firmie posiadającej odpowiednie pozwolenie.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 xml:space="preserve">Powstająca gnojowica gromadzona będzie w kawałkach pod  budynkiem inwentarskim, a następnie zagospodarowana zostanie jako pełnowartościowy nawóz organiczny, na gruntach własnych Inwestora, zgodnie z zasadami określonymi w ustawie z dnia 10 lipca 2007 r. o nawozach i nawożeniu (Dz. U. Nr 147, </w:t>
      </w:r>
      <w:proofErr w:type="spellStart"/>
      <w:r w:rsidRPr="005E4B55">
        <w:rPr>
          <w:rFonts w:ascii="Times New Roman" w:eastAsia="Times New Roman" w:hAnsi="Times New Roman" w:cs="Times New Roman"/>
          <w:sz w:val="26"/>
          <w:szCs w:val="26"/>
          <w:lang w:eastAsia="pl-PL"/>
        </w:rPr>
        <w:t>poz</w:t>
      </w:r>
      <w:proofErr w:type="spellEnd"/>
      <w:r w:rsidRPr="005E4B55">
        <w:rPr>
          <w:rFonts w:ascii="Times New Roman" w:eastAsia="Times New Roman" w:hAnsi="Times New Roman" w:cs="Times New Roman"/>
          <w:sz w:val="26"/>
          <w:szCs w:val="26"/>
          <w:lang w:eastAsia="pl-PL"/>
        </w:rPr>
        <w:t xml:space="preserve"> 1033 ze zm.) oraz Kodeksie Dobrej Praktyki Rolnicze. Nadwyżki nawozu przekazane zostaną innym rolnikom, na podstawie stosowanych umów.</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Wszystkie odpady z funkcjonowania planowanego przedsięwzięcia zastaną zagospodarowane zgodnie z obowiązującymi w tym zakresie przepisami. Będą one magazynowane w pojemnikach, a następnie po zebraniu odpowiedniej ilości przekazywane specjalistycznej firmie, posiadającej stosowne zezwolenie.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Sztuki padłe, do czasu odbioru przez uprawnioną firmę, zostaną zgromadzone w wydzielonym, oznakowanym pomieszczeniu, zabezpieczonym przed dostępem zwierząt i osób postronnych, a następnie przekazane odpowiedniemu podmiotowi celem utylizacji.</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W przypadku sytuacji odbiegającej od warunków  normalnych, m. In. wystąpienia choroby  powodującej w skrajnym przypadku likwidację stada, prowadzący instalację będzie postępował ściśle według wskazań Powiatowego Lekarza Weterynarii oraz obowiązujących w tym zakresie przepisów prawa.</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Projektowany budynek zaopatrywany będzie w wodę z wodociągu gminnego.  Woda używana jest na potrzeby socjalno-bytowe, utrzymanie czystości w pomieszczeniach inwestorskich ora pojenie zwierząt.</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Ścieki socjalno-bytowe oraz z mycia urządzeń udojowych skierowane zostaną do projektowanego szczelnego zbiornika bezodpływowego. Inwestor wykluczył zastosowanie przydomowej oczyszczalni ścieków, ze względu na niewielką ilość powstających ścieków.</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Wody opadowe i roztopowe, systemem rynien i rur spustowych kierowane będą promieniście na nieutwardzony teren własnej działki.</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e) ryzyka wystąpienia awarii, przy uwzględnieniu używanych substancji i stosowanych technologii.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lastRenderedPageBreak/>
        <w:tab/>
        <w:t>Odnośnie ryzyka wystąpienia poważnej awarii, należy zaznaczyć, że przedsięwzięcie nie należy do kategorii zakładu o zwiększonym bądź dużym ryzyku pojawienia są awarii przemysłowej, w myśl rozporządzenia Ministra Gospodarki z dnia kwietnia 2002 r. w sprawie rodzajów i ilości substancji  niebezpiecznych których znajdowanie się w zakładzie decyduje o jego zaliczeniu do zakładu o dużym ryzyku wystąpienia poważnej awarii przemysłowej (Dz. U. Nr 58, poz. 535 ze zm.).</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w:t>
      </w:r>
      <w:r w:rsidRPr="005E4B55">
        <w:rPr>
          <w:rFonts w:ascii="Times New Roman" w:eastAsia="Times New Roman" w:hAnsi="Times New Roman" w:cs="Times New Roman"/>
          <w:sz w:val="26"/>
          <w:szCs w:val="26"/>
          <w:lang w:eastAsia="pl-PL"/>
        </w:rPr>
        <w:tab/>
        <w:t xml:space="preserve">obszary objęte ochroną, w tym strefy ochronne ujęć wody, obszary ochronne zbiorników wód śródlądowych oraz obszary </w:t>
      </w:r>
      <w:proofErr w:type="spellStart"/>
      <w:r w:rsidRPr="005E4B55">
        <w:rPr>
          <w:rFonts w:ascii="Times New Roman" w:eastAsia="Times New Roman" w:hAnsi="Times New Roman" w:cs="Times New Roman"/>
          <w:sz w:val="26"/>
          <w:szCs w:val="26"/>
          <w:lang w:eastAsia="pl-PL"/>
        </w:rPr>
        <w:t>wodno</w:t>
      </w:r>
      <w:proofErr w:type="spellEnd"/>
      <w:r w:rsidRPr="005E4B55">
        <w:rPr>
          <w:rFonts w:ascii="Times New Roman" w:eastAsia="Times New Roman" w:hAnsi="Times New Roman" w:cs="Times New Roman"/>
          <w:sz w:val="26"/>
          <w:szCs w:val="26"/>
          <w:lang w:eastAsia="pl-PL"/>
        </w:rPr>
        <w:t xml:space="preserve"> – błotne i  inne obszary o płytkim zaleganiu wód podziemnych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Na terenie  projektowanego zadania nie występują obszary : wodno-błotne, o płytkim zaleganiu wód podziemnych, wybrzeży , górskie lub leśne , objęte ochroną (w tym strefy ujęć wód i ochronie zbiorników wód śródlądowych).</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Przedmiotowa inwestycja zlokalizowana jest w obszarze dorzecza Wisły, dla którego opracowano Plan gospodarowania wodami na obszarze dorzecza Wisły, przyjęty Uchwałą Rady Ministrów z dnia 22 lutego 2011 r. (M.P. z dnia 21 czerwca 2011 r., Nr 49, poz. 549).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Przewiduje się, że planowane zamierzenie nie będzie wiązać się z bezpośrednim poborem wód gruntowych.</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Z uwagi na rodzaj, zakres i lokalizację przedsięwzięcia stwierdza się, że jego realizacja i eksploatacja nie wpływa na ryzyko nieosiągnięcia celów środowiskowych zawartych w Planie gospodarowania wodami na obszarze  dorzecza Wisły.</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b) obszary wybrzeży.</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Brak obszarów.</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c)</w:t>
      </w:r>
      <w:r w:rsidRPr="005E4B55">
        <w:rPr>
          <w:rFonts w:ascii="Times New Roman" w:eastAsia="Times New Roman" w:hAnsi="Times New Roman" w:cs="Times New Roman"/>
          <w:sz w:val="26"/>
          <w:szCs w:val="26"/>
          <w:lang w:eastAsia="pl-PL"/>
        </w:rPr>
        <w:tab/>
        <w:t>obszary górskie lub leśne.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 xml:space="preserve">Brak obszarów. </w:t>
      </w:r>
      <w:r w:rsidRPr="005E4B55">
        <w:rPr>
          <w:rFonts w:ascii="Times New Roman" w:eastAsia="Times New Roman" w:hAnsi="Times New Roman" w:cs="Times New Roman"/>
          <w:sz w:val="26"/>
          <w:szCs w:val="26"/>
          <w:lang w:eastAsia="pl-PL"/>
        </w:rPr>
        <w:tab/>
        <w:t xml:space="preserve">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d)</w:t>
      </w:r>
      <w:r w:rsidRPr="005E4B55">
        <w:rPr>
          <w:rFonts w:ascii="Times New Roman" w:eastAsia="Times New Roman" w:hAnsi="Times New Roman" w:cs="Times New Roman"/>
          <w:sz w:val="26"/>
          <w:szCs w:val="26"/>
          <w:lang w:eastAsia="pl-PL"/>
        </w:rPr>
        <w:tab/>
        <w:t>obszary wymagając specjalnej ochrony ze względu na występowanie gatunków roślin i zwierząt oraz ich siedlisk przyrodniczych objętych ochroną, w tym obszary sieci Natura 2000 oraz pozostałe formy ochrony przyrody.</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Inwestycja zlokalizowana jest poza obszarami chronionymi z tytułu ustawy z dnia 16 kwietnia 2004 r o ochronie przyrody (Dz. U. z 2013 r., poz. 627 ze m.), w tym poza wyznaczonymi, mającymi znaczenie dla Wspólnoty i projektowanymi przekazanymi do Komisji Europejskiej obszarami Natura 2000.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Realizacja zadania nie wymaga naruszenia naturalnych siedlisk przyrodniczych, ich przekształcenia, usunięcia drzew i krzewów oraz zajęcie siedlisk wrażliwych będących potencjalnym miejscem występowania gatunków chronionych.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lastRenderedPageBreak/>
        <w:tab/>
        <w:t>Jednakże, z uwagi na możliwą obecność miejsc lęgowych gatunków ptaków budujących gniazda  na ziemi ,  takich jak np. skowronek polny, zalecane jest rozpoczęcie prac budowlanych i ziemnych poza okresem lęgowym ptaków, przypadającym od 15 marca do 15 sierpnia lub w tym terminie, w przypadku potwierdzenia przez eksperta ornitologa braku lęgów (gniazd) chronionych gatunków ptaków na terenie inwestycji.</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W związku z powyższym stwierdzono, że realizacja  analizowanej inwestycji z uwagi na jej charakter, skalę i lokalizację nie będzie wiązać się ze znacząco negatywnym oddziaływaniem na  środowisko w zakresie ochrony przyrody, a tym samym nie wymaga wykonania raportu o oddziaływaniu  przedsięwzięcia na środowisko w odniesieniu do ochrony przyrody i obszarów Natura 2000.</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e)</w:t>
      </w:r>
      <w:r w:rsidRPr="005E4B55">
        <w:rPr>
          <w:rFonts w:ascii="Times New Roman" w:eastAsia="Times New Roman" w:hAnsi="Times New Roman" w:cs="Times New Roman"/>
          <w:sz w:val="26"/>
          <w:szCs w:val="26"/>
          <w:lang w:eastAsia="pl-PL"/>
        </w:rPr>
        <w:tab/>
        <w:t>obszary, na których standardy jakości środowiska zostały przekroczone.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Przy zastosowaniu rozwiązań  określonych w karcie  informacyjnej przedsięwzięcia stwierdzono, iż realizacja inwestycji nie powinna wpływać ponadnormatywnie na stan czystości powietrza w jego otoczeniu, na zdrowie ludzi i obiekty sąsiednie.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f)</w:t>
      </w:r>
      <w:r w:rsidRPr="005E4B55">
        <w:rPr>
          <w:rFonts w:ascii="Times New Roman" w:eastAsia="Times New Roman" w:hAnsi="Times New Roman" w:cs="Times New Roman"/>
          <w:sz w:val="26"/>
          <w:szCs w:val="26"/>
          <w:lang w:eastAsia="pl-PL"/>
        </w:rPr>
        <w:tab/>
        <w:t>obszary o krajobrazie mającym znaczenie historyczne, kulturowe lub archeologiczne.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Brak obszarów.</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g)</w:t>
      </w:r>
      <w:r w:rsidRPr="005E4B55">
        <w:rPr>
          <w:rFonts w:ascii="Times New Roman" w:eastAsia="Times New Roman" w:hAnsi="Times New Roman" w:cs="Times New Roman"/>
          <w:sz w:val="26"/>
          <w:szCs w:val="26"/>
          <w:lang w:eastAsia="pl-PL"/>
        </w:rPr>
        <w:tab/>
        <w:t>gęstość zaludnienia:</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Bezpośrednie otoczenie planowanego przedsięwzięcia stanowi użytki rolne. Najbliższa zabudowa mieszkaniowa należąca do osób trzecich znajduje się w odległości ok. 125 m względem analizowanego zadania. Gęstość zaludnienia w gminie Łubianka wg. GUS z 2013 r. wynosi 77 os. na km2.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h)</w:t>
      </w:r>
      <w:r w:rsidRPr="005E4B55">
        <w:rPr>
          <w:rFonts w:ascii="Times New Roman" w:eastAsia="Times New Roman" w:hAnsi="Times New Roman" w:cs="Times New Roman"/>
          <w:sz w:val="26"/>
          <w:szCs w:val="26"/>
          <w:lang w:eastAsia="pl-PL"/>
        </w:rPr>
        <w:tab/>
        <w:t>obszary przylegające do jezior:</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Brak obszarów.</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i)</w:t>
      </w:r>
      <w:r w:rsidRPr="005E4B55">
        <w:rPr>
          <w:rFonts w:ascii="Times New Roman" w:eastAsia="Times New Roman" w:hAnsi="Times New Roman" w:cs="Times New Roman"/>
          <w:sz w:val="26"/>
          <w:szCs w:val="26"/>
          <w:lang w:eastAsia="pl-PL"/>
        </w:rPr>
        <w:tab/>
        <w:t>uzdrowiska o obszary ochrony uzdrowiskowej:</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Brak obszarów</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3) rodzaj i skalę możliwego oddziaływania rozważanego w odniesieniu do uwarunkowań wymienionych w pkt 1 i 2 wynikające z:</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 zasięgu oddziaływania – obszaru geograficznego i liczby ludności, na którą przedsięwzięcie może oddziaływać.</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Od północy sąsiaduje ono z ulicą, a dalej z gruntami rolnymi będącymi własnością inwestora. Od południa i zachodu znajdują się pola uprawne i łąki. Od strony zachodniej najbliższe zabudowania mieszkalne usytuowane są w odległości ok. 125 m.</w:t>
      </w:r>
      <w:r w:rsidRPr="005E4B55">
        <w:rPr>
          <w:rFonts w:ascii="Times New Roman" w:eastAsia="Times New Roman" w:hAnsi="Times New Roman" w:cs="Times New Roman"/>
          <w:sz w:val="26"/>
          <w:szCs w:val="26"/>
          <w:lang w:eastAsia="pl-PL"/>
        </w:rPr>
        <w:tab/>
      </w:r>
      <w:r w:rsidRPr="005E4B55">
        <w:rPr>
          <w:rFonts w:ascii="Times New Roman" w:eastAsia="Times New Roman" w:hAnsi="Times New Roman" w:cs="Times New Roman"/>
          <w:sz w:val="26"/>
          <w:szCs w:val="26"/>
          <w:lang w:eastAsia="pl-PL"/>
        </w:rPr>
        <w:tab/>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b)</w:t>
      </w:r>
      <w:r w:rsidRPr="005E4B55">
        <w:rPr>
          <w:rFonts w:ascii="Times New Roman" w:eastAsia="Times New Roman" w:hAnsi="Times New Roman" w:cs="Times New Roman"/>
          <w:sz w:val="26"/>
          <w:szCs w:val="26"/>
          <w:lang w:eastAsia="pl-PL"/>
        </w:rPr>
        <w:tab/>
        <w:t>transgranicznego charakteru oddziaływania przedsięwzięcia na poszczególne elementy przyrodnicze.</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Biorąc pod uwagę położenie geograficzne nie stwierdza się negatywnego wpływu i występowania trans granicznego oddziaływania analizowanej inwestycji na środowisko.</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lastRenderedPageBreak/>
        <w:t>c)</w:t>
      </w:r>
      <w:r w:rsidRPr="005E4B55">
        <w:rPr>
          <w:rFonts w:ascii="Times New Roman" w:eastAsia="Times New Roman" w:hAnsi="Times New Roman" w:cs="Times New Roman"/>
          <w:sz w:val="26"/>
          <w:szCs w:val="26"/>
          <w:lang w:eastAsia="pl-PL"/>
        </w:rPr>
        <w:tab/>
        <w:t>wielkości i złożoności oddziaływania z uwzględnieniem istniejącej infrastruktury technicznej.</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 xml:space="preserve">Przedsięwzięcie związane jest z wystąpieniem oddziaływania skumulowanego z istniejącą oborą. Wskazać należy, iż planowana inwestycja stanowić będzie kontynuację aktualnego zagospodarowania przedmiotowej działki. Wzrost obsady o 42 DJP spowoduje tym samym, zwiększenie emisji zanieczyszczeń do powietrza i hałasu. Jednakże przewiduje się , iż nakładanie się ww. oddziaływań  nie będzie wiązało się z przekroczeniem norm środowiskowych.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d)</w:t>
      </w:r>
      <w:r w:rsidRPr="005E4B55">
        <w:rPr>
          <w:rFonts w:ascii="Times New Roman" w:eastAsia="Times New Roman" w:hAnsi="Times New Roman" w:cs="Times New Roman"/>
          <w:sz w:val="26"/>
          <w:szCs w:val="26"/>
          <w:lang w:eastAsia="pl-PL"/>
        </w:rPr>
        <w:tab/>
        <w:t xml:space="preserve">prawdopodobieństwo oddziaływania oraz czasu trwania, częstotliwości </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i odwracalności oddziaływania.</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Uznano, iż zastosowanie zaproponowanych w przedłożonej karcie informacyjnej przedsięwzięcia rozwiązań technicznych, technologicznych i organizacyjnych, zapewni ochronę środowiska przed  negatywnym oddziaływania inwestycji, zarówno na etapie jej realizacji, jak i eksploatacji.</w:t>
      </w:r>
    </w:p>
    <w:p w:rsidR="00823A34"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 xml:space="preserve">W związku z powyższym, biorąc pod uwagę lokalizację, zakres i planowany sposób realizacji i eksploatacji inwestycji, w oparciu o art. 63 ww. ustawy z dnia 3 października 2008 r. o udostępnianiu informacji o środowisku i jego ochronie, udziale społeczeństwa w ochronie środowiska oraz ocenach oddziaływania na środowisko, tut. Organ nie stwierdził potrzeby przeprowadzenia dla przedmiotowego przedsięwzięcia oceny oddziaływania na środowisko, a tym samym sporządzenia raportu o oddziaływaniu na środowisko.     </w:t>
      </w:r>
    </w:p>
    <w:p w:rsidR="005634A1" w:rsidRPr="005E4B55" w:rsidRDefault="00823A34" w:rsidP="005E4B55">
      <w:pPr>
        <w:spacing w:after="0"/>
        <w:jc w:val="both"/>
        <w:rPr>
          <w:rFonts w:ascii="Times New Roman" w:eastAsia="Times New Roman" w:hAnsi="Times New Roman" w:cs="Times New Roman"/>
          <w:sz w:val="26"/>
          <w:szCs w:val="26"/>
          <w:lang w:eastAsia="pl-PL"/>
        </w:rPr>
      </w:pPr>
      <w:r w:rsidRPr="005E4B55">
        <w:rPr>
          <w:rFonts w:ascii="Times New Roman" w:eastAsia="Times New Roman" w:hAnsi="Times New Roman" w:cs="Times New Roman"/>
          <w:sz w:val="26"/>
          <w:szCs w:val="26"/>
          <w:lang w:eastAsia="pl-PL"/>
        </w:rPr>
        <w:tab/>
        <w:t>Mając powyższe  na uwadze postanowiono jak w sentencji.</w:t>
      </w:r>
    </w:p>
    <w:p w:rsidR="005634A1" w:rsidRPr="005E4B55" w:rsidRDefault="005634A1" w:rsidP="005E4B55">
      <w:pPr>
        <w:spacing w:before="100" w:beforeAutospacing="1" w:after="0"/>
        <w:jc w:val="center"/>
        <w:rPr>
          <w:rFonts w:ascii="Times New Roman" w:eastAsia="Times New Roman" w:hAnsi="Times New Roman" w:cs="Times New Roman"/>
          <w:b/>
          <w:bCs/>
          <w:sz w:val="26"/>
          <w:szCs w:val="26"/>
          <w:lang w:eastAsia="pl-PL"/>
        </w:rPr>
      </w:pPr>
      <w:r w:rsidRPr="005E4B55">
        <w:rPr>
          <w:rFonts w:ascii="Times New Roman" w:eastAsia="Times New Roman" w:hAnsi="Times New Roman" w:cs="Times New Roman"/>
          <w:b/>
          <w:bCs/>
          <w:sz w:val="26"/>
          <w:szCs w:val="26"/>
          <w:lang w:eastAsia="pl-PL"/>
        </w:rPr>
        <w:t>POUCZENIE</w:t>
      </w:r>
    </w:p>
    <w:p w:rsidR="00A54F3B" w:rsidRPr="005E4B55" w:rsidRDefault="00A54F3B" w:rsidP="005E4B55">
      <w:pPr>
        <w:rPr>
          <w:rFonts w:ascii="Times New Roman" w:hAnsi="Times New Roman" w:cs="Times New Roman"/>
          <w:sz w:val="26"/>
          <w:szCs w:val="26"/>
        </w:rPr>
      </w:pPr>
      <w:r w:rsidRPr="005E4B55">
        <w:rPr>
          <w:rFonts w:ascii="Times New Roman" w:hAnsi="Times New Roman" w:cs="Times New Roman"/>
          <w:sz w:val="26"/>
          <w:szCs w:val="26"/>
        </w:rPr>
        <w:tab/>
        <w:t>Od niniejszej decyzji służy stronom odwołanie do Samorządowego Kolegium Odwoławczego w Toruniu za pośrednictwem Wójta Gminy Łubianka w terminie 14 dni od dnia doręczenia decyzji.</w:t>
      </w:r>
    </w:p>
    <w:p w:rsidR="00A54F3B" w:rsidRPr="005E4B55" w:rsidRDefault="00671756" w:rsidP="005E4B55">
      <w:pPr>
        <w:rPr>
          <w:rFonts w:ascii="Times New Roman" w:hAnsi="Times New Roman" w:cs="Times New Roman"/>
          <w:sz w:val="26"/>
          <w:szCs w:val="26"/>
        </w:rPr>
      </w:pPr>
      <w:r w:rsidRPr="005E4B55">
        <w:rPr>
          <w:rFonts w:ascii="Times New Roman" w:hAnsi="Times New Roman" w:cs="Times New Roman"/>
          <w:sz w:val="26"/>
          <w:szCs w:val="26"/>
        </w:rPr>
        <w:t>Załącznik</w:t>
      </w:r>
      <w:r w:rsidR="006C262D" w:rsidRPr="005E4B55">
        <w:rPr>
          <w:rFonts w:ascii="Times New Roman" w:hAnsi="Times New Roman" w:cs="Times New Roman"/>
          <w:sz w:val="26"/>
          <w:szCs w:val="26"/>
        </w:rPr>
        <w:t xml:space="preserve"> nr 1</w:t>
      </w:r>
      <w:r w:rsidR="00A54F3B" w:rsidRPr="005E4B55">
        <w:rPr>
          <w:rFonts w:ascii="Times New Roman" w:hAnsi="Times New Roman" w:cs="Times New Roman"/>
          <w:sz w:val="26"/>
          <w:szCs w:val="26"/>
        </w:rPr>
        <w:t>:</w:t>
      </w:r>
    </w:p>
    <w:p w:rsidR="00A54F3B" w:rsidRPr="005E4B55" w:rsidRDefault="00A54F3B" w:rsidP="005E4B55">
      <w:pPr>
        <w:rPr>
          <w:rFonts w:ascii="Times New Roman" w:hAnsi="Times New Roman" w:cs="Times New Roman"/>
          <w:sz w:val="26"/>
          <w:szCs w:val="26"/>
        </w:rPr>
      </w:pPr>
      <w:r w:rsidRPr="005E4B55">
        <w:rPr>
          <w:rFonts w:ascii="Times New Roman" w:hAnsi="Times New Roman" w:cs="Times New Roman"/>
          <w:sz w:val="26"/>
          <w:szCs w:val="26"/>
        </w:rPr>
        <w:t xml:space="preserve">- Charakterystyka planowanego przedsięwzięcia zgodnie z art. 82 ust. 3 ustawy </w:t>
      </w:r>
      <w:proofErr w:type="spellStart"/>
      <w:r w:rsidRPr="005E4B55">
        <w:rPr>
          <w:rFonts w:ascii="Times New Roman" w:hAnsi="Times New Roman" w:cs="Times New Roman"/>
          <w:sz w:val="26"/>
          <w:szCs w:val="26"/>
        </w:rPr>
        <w:t>ooś</w:t>
      </w:r>
      <w:proofErr w:type="spellEnd"/>
    </w:p>
    <w:p w:rsidR="00945F70" w:rsidRDefault="00945F70" w:rsidP="00C20A97">
      <w:pPr>
        <w:spacing w:after="0" w:line="360" w:lineRule="auto"/>
        <w:jc w:val="both"/>
        <w:rPr>
          <w:rFonts w:ascii="Times New Roman" w:hAnsi="Times New Roman" w:cs="Times New Roman"/>
          <w:sz w:val="28"/>
          <w:szCs w:val="28"/>
        </w:rPr>
      </w:pPr>
    </w:p>
    <w:p w:rsidR="005E4B55" w:rsidRDefault="005E4B55" w:rsidP="00C20A97">
      <w:pPr>
        <w:spacing w:after="0" w:line="360" w:lineRule="auto"/>
        <w:jc w:val="both"/>
        <w:rPr>
          <w:rFonts w:ascii="Times New Roman" w:hAnsi="Times New Roman" w:cs="Times New Roman"/>
          <w:sz w:val="28"/>
          <w:szCs w:val="28"/>
        </w:rPr>
      </w:pPr>
    </w:p>
    <w:p w:rsidR="005E4B55" w:rsidRDefault="005E4B55" w:rsidP="00C20A97">
      <w:pPr>
        <w:spacing w:after="0" w:line="360" w:lineRule="auto"/>
        <w:jc w:val="both"/>
        <w:rPr>
          <w:rFonts w:ascii="Times New Roman" w:hAnsi="Times New Roman" w:cs="Times New Roman"/>
          <w:sz w:val="28"/>
          <w:szCs w:val="28"/>
        </w:rPr>
      </w:pPr>
    </w:p>
    <w:p w:rsidR="005E4B55" w:rsidRPr="005E4B55" w:rsidRDefault="005E4B55" w:rsidP="00C20A97">
      <w:pPr>
        <w:spacing w:after="0" w:line="360" w:lineRule="auto"/>
        <w:jc w:val="both"/>
        <w:rPr>
          <w:rFonts w:ascii="Times New Roman" w:hAnsi="Times New Roman" w:cs="Times New Roman"/>
          <w:sz w:val="18"/>
          <w:szCs w:val="18"/>
        </w:rPr>
      </w:pPr>
    </w:p>
    <w:p w:rsidR="00823A34" w:rsidRPr="005E4B55" w:rsidRDefault="00823A34" w:rsidP="00823A34">
      <w:pPr>
        <w:spacing w:after="0" w:line="240" w:lineRule="auto"/>
        <w:jc w:val="both"/>
        <w:rPr>
          <w:rFonts w:ascii="Times New Roman" w:hAnsi="Times New Roman" w:cs="Times New Roman"/>
          <w:sz w:val="18"/>
          <w:szCs w:val="18"/>
        </w:rPr>
      </w:pPr>
      <w:r w:rsidRPr="005E4B55">
        <w:rPr>
          <w:rFonts w:ascii="Times New Roman" w:hAnsi="Times New Roman" w:cs="Times New Roman"/>
          <w:sz w:val="18"/>
          <w:szCs w:val="18"/>
        </w:rPr>
        <w:t xml:space="preserve">Otrzymują: </w:t>
      </w:r>
    </w:p>
    <w:p w:rsidR="00823A34" w:rsidRPr="005E4B55" w:rsidRDefault="00823A34" w:rsidP="00823A34">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8"/>
          <w:szCs w:val="18"/>
        </w:rPr>
      </w:pPr>
      <w:r w:rsidRPr="005E4B55">
        <w:rPr>
          <w:rFonts w:ascii="Times New Roman" w:hAnsi="Times New Roman" w:cs="Times New Roman"/>
          <w:sz w:val="18"/>
          <w:szCs w:val="18"/>
        </w:rPr>
        <w:t>Marek Blachowski, Brąchnowo, ul. Św. Floriana 4, 87-152 Łubianka.</w:t>
      </w:r>
    </w:p>
    <w:p w:rsidR="00823A34" w:rsidRPr="005E4B55" w:rsidRDefault="00823A34" w:rsidP="00823A34">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 w:val="18"/>
          <w:szCs w:val="18"/>
        </w:rPr>
      </w:pPr>
      <w:r w:rsidRPr="005E4B55">
        <w:rPr>
          <w:rFonts w:ascii="Times New Roman" w:hAnsi="Times New Roman" w:cs="Times New Roman"/>
          <w:sz w:val="18"/>
          <w:szCs w:val="18"/>
        </w:rPr>
        <w:t xml:space="preserve">a/a, BIP, wg. Załącznika, tablice ogłoszeń </w:t>
      </w:r>
      <w:proofErr w:type="spellStart"/>
      <w:r w:rsidRPr="005E4B55">
        <w:rPr>
          <w:rFonts w:ascii="Times New Roman" w:hAnsi="Times New Roman" w:cs="Times New Roman"/>
          <w:sz w:val="18"/>
          <w:szCs w:val="18"/>
        </w:rPr>
        <w:t>Ug</w:t>
      </w:r>
      <w:proofErr w:type="spellEnd"/>
      <w:r w:rsidRPr="005E4B55">
        <w:rPr>
          <w:rFonts w:ascii="Times New Roman" w:hAnsi="Times New Roman" w:cs="Times New Roman"/>
          <w:sz w:val="18"/>
          <w:szCs w:val="18"/>
        </w:rPr>
        <w:t xml:space="preserve"> i sołectwa Brąchnowo</w:t>
      </w:r>
    </w:p>
    <w:p w:rsidR="00823A34" w:rsidRPr="005E4B55" w:rsidRDefault="00823A34" w:rsidP="00823A34">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823A34" w:rsidRPr="005E4B55" w:rsidRDefault="00823A34" w:rsidP="00823A34">
      <w:pPr>
        <w:overflowPunct w:val="0"/>
        <w:autoSpaceDE w:val="0"/>
        <w:autoSpaceDN w:val="0"/>
        <w:adjustRightInd w:val="0"/>
        <w:spacing w:after="0" w:line="240" w:lineRule="auto"/>
        <w:jc w:val="both"/>
        <w:textAlignment w:val="baseline"/>
        <w:rPr>
          <w:rFonts w:ascii="Times New Roman" w:hAnsi="Times New Roman" w:cs="Times New Roman"/>
          <w:sz w:val="18"/>
          <w:szCs w:val="18"/>
        </w:rPr>
      </w:pPr>
      <w:r w:rsidRPr="005E4B55">
        <w:rPr>
          <w:rFonts w:ascii="Times New Roman" w:hAnsi="Times New Roman" w:cs="Times New Roman"/>
          <w:sz w:val="18"/>
          <w:szCs w:val="18"/>
        </w:rPr>
        <w:t>Do wiadomości:</w:t>
      </w:r>
    </w:p>
    <w:p w:rsidR="00823A34" w:rsidRPr="005E4B55" w:rsidRDefault="00823A34" w:rsidP="00823A34">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 w:val="18"/>
          <w:szCs w:val="18"/>
        </w:rPr>
      </w:pPr>
      <w:r w:rsidRPr="005E4B55">
        <w:rPr>
          <w:rFonts w:ascii="Times New Roman" w:hAnsi="Times New Roman" w:cs="Times New Roman"/>
          <w:sz w:val="18"/>
          <w:szCs w:val="18"/>
        </w:rPr>
        <w:t>Regionalny Dyrektor Ochrony Środowiska, ul. Dworcowa 63, 85-950 Bydgoszcz</w:t>
      </w:r>
    </w:p>
    <w:p w:rsidR="005D10C9" w:rsidRPr="005E4B55" w:rsidRDefault="00823A34" w:rsidP="005E4B55">
      <w:pPr>
        <w:numPr>
          <w:ilvl w:val="0"/>
          <w:numId w:val="5"/>
        </w:numPr>
        <w:overflowPunct w:val="0"/>
        <w:autoSpaceDE w:val="0"/>
        <w:autoSpaceDN w:val="0"/>
        <w:adjustRightInd w:val="0"/>
        <w:spacing w:after="0" w:line="360" w:lineRule="auto"/>
        <w:jc w:val="both"/>
        <w:textAlignment w:val="baseline"/>
        <w:rPr>
          <w:rFonts w:ascii="Times New Roman" w:hAnsi="Times New Roman" w:cs="Times New Roman"/>
          <w:sz w:val="18"/>
          <w:szCs w:val="18"/>
        </w:rPr>
      </w:pPr>
      <w:r w:rsidRPr="005E4B55">
        <w:rPr>
          <w:rFonts w:ascii="Times New Roman" w:hAnsi="Times New Roman" w:cs="Times New Roman"/>
          <w:sz w:val="18"/>
          <w:szCs w:val="18"/>
        </w:rPr>
        <w:t xml:space="preserve">Państwowy Powiatowy Inspektor  Sanitarny, ul. Szosa Bydgoska 1, 87-100 Toruń </w:t>
      </w:r>
      <w:r w:rsidRPr="005E4B55">
        <w:rPr>
          <w:rFonts w:ascii="Times New Roman" w:hAnsi="Times New Roman" w:cs="Times New Roman"/>
          <w:b/>
          <w:sz w:val="18"/>
          <w:szCs w:val="18"/>
        </w:rPr>
        <w:t xml:space="preserve"> </w:t>
      </w:r>
    </w:p>
    <w:sectPr w:rsidR="005D10C9" w:rsidRPr="005E4B55" w:rsidSect="00E12DDC">
      <w:footerReference w:type="default" r:id="rId8"/>
      <w:pgSz w:w="11906" w:h="16838"/>
      <w:pgMar w:top="1361" w:right="1361" w:bottom="136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FF4" w:rsidRDefault="00E26FF4" w:rsidP="00037ED6">
      <w:pPr>
        <w:spacing w:after="0" w:line="240" w:lineRule="auto"/>
      </w:pPr>
      <w:r>
        <w:separator/>
      </w:r>
    </w:p>
  </w:endnote>
  <w:endnote w:type="continuationSeparator" w:id="0">
    <w:p w:rsidR="00E26FF4" w:rsidRDefault="00E26FF4"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565087">
          <w:rPr>
            <w:noProof/>
          </w:rPr>
          <w:t>7</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FF4" w:rsidRDefault="00E26FF4" w:rsidP="00037ED6">
      <w:pPr>
        <w:spacing w:after="0" w:line="240" w:lineRule="auto"/>
      </w:pPr>
      <w:r>
        <w:separator/>
      </w:r>
    </w:p>
  </w:footnote>
  <w:footnote w:type="continuationSeparator" w:id="0">
    <w:p w:rsidR="00E26FF4" w:rsidRDefault="00E26FF4"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419268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0"/>
  </w:num>
  <w:num w:numId="7">
    <w:abstractNumId w:val="9"/>
  </w:num>
  <w:num w:numId="8">
    <w:abstractNumId w:val="3"/>
  </w:num>
  <w:num w:numId="9">
    <w:abstractNumId w:val="6"/>
  </w:num>
  <w:num w:numId="10">
    <w:abstractNumId w:val="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11D39"/>
    <w:rsid w:val="00034B66"/>
    <w:rsid w:val="00037ED6"/>
    <w:rsid w:val="00085326"/>
    <w:rsid w:val="00092833"/>
    <w:rsid w:val="000B64E9"/>
    <w:rsid w:val="00105D97"/>
    <w:rsid w:val="001347AE"/>
    <w:rsid w:val="001437B7"/>
    <w:rsid w:val="00170597"/>
    <w:rsid w:val="0020651C"/>
    <w:rsid w:val="00206F93"/>
    <w:rsid w:val="0021798C"/>
    <w:rsid w:val="00217F08"/>
    <w:rsid w:val="002E4B58"/>
    <w:rsid w:val="003403EF"/>
    <w:rsid w:val="0035228C"/>
    <w:rsid w:val="003710C3"/>
    <w:rsid w:val="00402129"/>
    <w:rsid w:val="00404A82"/>
    <w:rsid w:val="0043705D"/>
    <w:rsid w:val="004930C6"/>
    <w:rsid w:val="004A64A1"/>
    <w:rsid w:val="004C70D5"/>
    <w:rsid w:val="005634A1"/>
    <w:rsid w:val="00565087"/>
    <w:rsid w:val="00585667"/>
    <w:rsid w:val="00591610"/>
    <w:rsid w:val="005C1866"/>
    <w:rsid w:val="005C22AE"/>
    <w:rsid w:val="005D10C9"/>
    <w:rsid w:val="005E4B55"/>
    <w:rsid w:val="006263C5"/>
    <w:rsid w:val="00671756"/>
    <w:rsid w:val="006865CA"/>
    <w:rsid w:val="006913AB"/>
    <w:rsid w:val="006C262D"/>
    <w:rsid w:val="006D61DA"/>
    <w:rsid w:val="00730038"/>
    <w:rsid w:val="007574EB"/>
    <w:rsid w:val="00784C3B"/>
    <w:rsid w:val="007D1248"/>
    <w:rsid w:val="007F6DA1"/>
    <w:rsid w:val="00802886"/>
    <w:rsid w:val="00823A34"/>
    <w:rsid w:val="008369A3"/>
    <w:rsid w:val="008457B5"/>
    <w:rsid w:val="00900C62"/>
    <w:rsid w:val="00900DE4"/>
    <w:rsid w:val="00930E11"/>
    <w:rsid w:val="00935BAF"/>
    <w:rsid w:val="00945F6A"/>
    <w:rsid w:val="00945F70"/>
    <w:rsid w:val="00952880"/>
    <w:rsid w:val="00986DC6"/>
    <w:rsid w:val="00A54F3B"/>
    <w:rsid w:val="00AB7602"/>
    <w:rsid w:val="00B2399B"/>
    <w:rsid w:val="00B34F07"/>
    <w:rsid w:val="00B35C36"/>
    <w:rsid w:val="00B46D9F"/>
    <w:rsid w:val="00B7568A"/>
    <w:rsid w:val="00B8466A"/>
    <w:rsid w:val="00BC2E8A"/>
    <w:rsid w:val="00C10229"/>
    <w:rsid w:val="00C20A97"/>
    <w:rsid w:val="00C87C21"/>
    <w:rsid w:val="00C92BFE"/>
    <w:rsid w:val="00CA0B29"/>
    <w:rsid w:val="00CE4409"/>
    <w:rsid w:val="00D01766"/>
    <w:rsid w:val="00D75A63"/>
    <w:rsid w:val="00DC63AF"/>
    <w:rsid w:val="00DE1750"/>
    <w:rsid w:val="00E12DDC"/>
    <w:rsid w:val="00E21E07"/>
    <w:rsid w:val="00E26FF4"/>
    <w:rsid w:val="00E5741A"/>
    <w:rsid w:val="00E73107"/>
    <w:rsid w:val="00E8759A"/>
    <w:rsid w:val="00E92F11"/>
    <w:rsid w:val="00ED3629"/>
    <w:rsid w:val="00EE0B90"/>
    <w:rsid w:val="00F030A8"/>
    <w:rsid w:val="00F47439"/>
    <w:rsid w:val="00F83D1F"/>
    <w:rsid w:val="00FC7B5D"/>
    <w:rsid w:val="00FE6D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7</Pages>
  <Words>2515</Words>
  <Characters>15093</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57</cp:revision>
  <cp:lastPrinted>2014-10-23T11:52:00Z</cp:lastPrinted>
  <dcterms:created xsi:type="dcterms:W3CDTF">2013-08-23T05:18:00Z</dcterms:created>
  <dcterms:modified xsi:type="dcterms:W3CDTF">2014-10-23T11:55:00Z</dcterms:modified>
</cp:coreProperties>
</file>