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CAA" w:rsidRDefault="00343C3C" w:rsidP="002D3ABB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Łubianka, dnia 19</w:t>
      </w:r>
      <w:r w:rsidR="00BF1278">
        <w:rPr>
          <w:rFonts w:ascii="Times New Roman" w:hAnsi="Times New Roman" w:cs="Times New Roman"/>
        </w:rPr>
        <w:t>.11</w:t>
      </w:r>
      <w:r w:rsidR="002D3ABB" w:rsidRPr="002D3ABB">
        <w:rPr>
          <w:rFonts w:ascii="Times New Roman" w:hAnsi="Times New Roman" w:cs="Times New Roman"/>
        </w:rPr>
        <w:t>.2013 r.</w:t>
      </w: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</w:t>
      </w:r>
      <w:r w:rsidR="000722BD">
        <w:rPr>
          <w:rFonts w:ascii="Times New Roman" w:hAnsi="Times New Roman" w:cs="Times New Roman"/>
          <w:b/>
        </w:rPr>
        <w:t xml:space="preserve">nr 1 </w:t>
      </w:r>
      <w:r>
        <w:rPr>
          <w:rFonts w:ascii="Times New Roman" w:hAnsi="Times New Roman" w:cs="Times New Roman"/>
          <w:b/>
        </w:rPr>
        <w:t xml:space="preserve">do decyzji </w:t>
      </w:r>
      <w:r w:rsidR="00343C3C" w:rsidRPr="00343C3C">
        <w:rPr>
          <w:rFonts w:ascii="Times New Roman" w:hAnsi="Times New Roman" w:cs="Times New Roman"/>
          <w:b/>
        </w:rPr>
        <w:t>ROŚ.6220.1.2.2013</w:t>
      </w: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Charakterystyka planowanego przedsięwzięcia zgodnie z art. 82 ust. 3 ustawy </w:t>
      </w:r>
      <w:r>
        <w:rPr>
          <w:rFonts w:ascii="Times New Roman" w:hAnsi="Times New Roman" w:cs="Times New Roman"/>
          <w:b/>
          <w:i/>
        </w:rPr>
        <w:br/>
        <w:t xml:space="preserve">o udostępnianiu informacji o środowisku i jego ochronie, udziale społeczeństwa w ochronie środowiska, oraz o ocenach oddziaływania na środowisko (Dz. U. z 2008r. Nr 199, poz. 1227, z </w:t>
      </w:r>
      <w:proofErr w:type="spellStart"/>
      <w:r>
        <w:rPr>
          <w:rFonts w:ascii="Times New Roman" w:hAnsi="Times New Roman" w:cs="Times New Roman"/>
          <w:b/>
          <w:i/>
        </w:rPr>
        <w:t>późn</w:t>
      </w:r>
      <w:proofErr w:type="spellEnd"/>
      <w:r>
        <w:rPr>
          <w:rFonts w:ascii="Times New Roman" w:hAnsi="Times New Roman" w:cs="Times New Roman"/>
          <w:b/>
          <w:i/>
        </w:rPr>
        <w:t xml:space="preserve">. </w:t>
      </w:r>
      <w:proofErr w:type="spellStart"/>
      <w:r>
        <w:rPr>
          <w:rFonts w:ascii="Times New Roman" w:hAnsi="Times New Roman" w:cs="Times New Roman"/>
          <w:b/>
          <w:i/>
        </w:rPr>
        <w:t>zm</w:t>
      </w:r>
      <w:proofErr w:type="spellEnd"/>
      <w:r>
        <w:rPr>
          <w:rFonts w:ascii="Times New Roman" w:hAnsi="Times New Roman" w:cs="Times New Roman"/>
          <w:b/>
          <w:i/>
        </w:rPr>
        <w:t>)</w:t>
      </w:r>
    </w:p>
    <w:p w:rsidR="00343C3C" w:rsidRDefault="00343C3C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</w:p>
    <w:p w:rsidR="00343C3C" w:rsidRPr="00343C3C" w:rsidRDefault="00343C3C" w:rsidP="00343C3C">
      <w:pPr>
        <w:widowControl/>
        <w:adjustRightInd w:val="0"/>
        <w:spacing w:after="200" w:line="360" w:lineRule="auto"/>
        <w:ind w:firstLine="0"/>
        <w:rPr>
          <w:rFonts w:ascii="Times New Roman" w:eastAsia="MS Mincho" w:hAnsi="Times New Roman" w:cs="Times New Roman"/>
          <w:color w:val="auto"/>
          <w:sz w:val="26"/>
          <w:szCs w:val="26"/>
        </w:rPr>
      </w:pPr>
      <w:r w:rsidRPr="00343C3C">
        <w:rPr>
          <w:rFonts w:ascii="Times New Roman" w:eastAsia="MS Mincho" w:hAnsi="Times New Roman" w:cs="Times New Roman"/>
          <w:color w:val="auto"/>
          <w:sz w:val="26"/>
          <w:szCs w:val="26"/>
        </w:rPr>
        <w:t>Przedmiotowe przedsięwzięcie polegać będzie na budowie instalacji fotowoltaicznej wraz z infrastrukturą techniczną. Instalacja służąca do wytwarzania energii elektrycznej z energii słońca posadowiona zostanie na działce nr 10/2, położonej w miejscowości Wybczyk, gm. Łubianka, powiat toruński. Powierzchnia działki, na której zaplanowano lokalizację inwestycji, zgodnie z załączonym wypisem z rejestru gruntu, wynosi 8 7683 ha, z czego obszar pokryty panelami fotowoltaicznymi stanowić będzie ok. 2 ha.</w:t>
      </w:r>
    </w:p>
    <w:p w:rsidR="00343C3C" w:rsidRDefault="00343C3C" w:rsidP="00343C3C">
      <w:pPr>
        <w:ind w:firstLine="0"/>
        <w:jc w:val="left"/>
        <w:rPr>
          <w:rFonts w:ascii="Times New Roman" w:hAnsi="Times New Roman" w:cs="Times New Roman"/>
          <w:b/>
          <w:i/>
        </w:rPr>
      </w:pPr>
      <w:r w:rsidRPr="00343C3C">
        <w:rPr>
          <w:rFonts w:ascii="Times New Roman" w:eastAsia="MS Mincho" w:hAnsi="Times New Roman" w:cs="Times New Roman"/>
          <w:color w:val="auto"/>
          <w:sz w:val="26"/>
          <w:szCs w:val="26"/>
        </w:rPr>
        <w:tab/>
        <w:t>Teren przeznaczony pod analizowane zamierzenie nie jest objęty miejscowym planem zagospodarowania przestrzennego. Zgodnie z obowiązującym Studium uwarunkowań i kierunków zagospodarowania przestrzennego gminy Łubianka, przedmiotowa działka znajduje się na terenach rolnych.</w:t>
      </w:r>
      <w:r w:rsidRPr="00343C3C">
        <w:rPr>
          <w:rFonts w:ascii="Times New Roman" w:eastAsia="MS Mincho" w:hAnsi="Times New Roman" w:cs="Times New Roman"/>
          <w:color w:val="auto"/>
          <w:sz w:val="26"/>
          <w:szCs w:val="26"/>
        </w:rPr>
        <w:br/>
      </w:r>
      <w:r w:rsidRPr="00343C3C">
        <w:rPr>
          <w:rFonts w:ascii="Times New Roman" w:eastAsia="MS Mincho" w:hAnsi="Times New Roman" w:cs="Times New Roman"/>
          <w:color w:val="auto"/>
          <w:sz w:val="26"/>
          <w:szCs w:val="26"/>
        </w:rPr>
        <w:tab/>
        <w:t>Podstawowym elementem instalacji będą moduły fotowoltaiczne Kioto KPV240 PE. Moduł polikrystaliczny produkowany jest na bazie 6 ogniw wielowarstwowych na nowoczesnej linii technologicznej. Moduły fotowoltaiczne dostarczone są w aluminiowych ramach o złączach krawędziowych wzmocniony</w:t>
      </w:r>
      <w:bookmarkStart w:id="0" w:name="_GoBack"/>
      <w:bookmarkEnd w:id="0"/>
      <w:r w:rsidRPr="00343C3C">
        <w:rPr>
          <w:rFonts w:ascii="Times New Roman" w:eastAsia="MS Mincho" w:hAnsi="Times New Roman" w:cs="Times New Roman"/>
          <w:color w:val="auto"/>
          <w:sz w:val="26"/>
          <w:szCs w:val="26"/>
        </w:rPr>
        <w:t xml:space="preserve">ch włóknem szklanym. Każdy moduł posiada zintegrowany chip z charakterystyką elektryczną i informacjami technicznymi. Inwertery fotowoltaiczne odbierają energię w postaci prądu stałego z modułów PV i zamieniają ją na prąd przemienny o parametrach takich jak w sieci elektroenergetycznej, do której będzie oddawana. Inwertery są wyposażone w wiele funkcji pozwalających na sprawne użytkowanie elektrowni fotowoltaicznej takich jak: automatyka załączania i wyłączania, zdalne monitorowanie sieci poprzez Internet, pomiary w sieci i wizualizacja danych, komunikacja z PC, rejestrowanie i zapisywanie pomiarów, synchronizacja sieci (regulacja), układy śledzenia mocy maksymalnej MPP </w:t>
      </w:r>
      <w:proofErr w:type="spellStart"/>
      <w:r w:rsidRPr="00343C3C">
        <w:rPr>
          <w:rFonts w:ascii="Times New Roman" w:eastAsia="MS Mincho" w:hAnsi="Times New Roman" w:cs="Times New Roman"/>
          <w:color w:val="auto"/>
          <w:sz w:val="26"/>
          <w:szCs w:val="26"/>
        </w:rPr>
        <w:t>Tracker</w:t>
      </w:r>
      <w:proofErr w:type="spellEnd"/>
      <w:r w:rsidRPr="00343C3C">
        <w:rPr>
          <w:rFonts w:ascii="Times New Roman" w:eastAsia="MS Mincho" w:hAnsi="Times New Roman" w:cs="Times New Roman"/>
          <w:color w:val="auto"/>
          <w:sz w:val="26"/>
          <w:szCs w:val="26"/>
        </w:rPr>
        <w:t xml:space="preserve"> pozwalające na </w:t>
      </w:r>
      <w:r w:rsidRPr="00343C3C">
        <w:rPr>
          <w:rFonts w:ascii="Times New Roman" w:eastAsia="MS Mincho" w:hAnsi="Times New Roman" w:cs="Times New Roman"/>
          <w:color w:val="auto"/>
          <w:sz w:val="26"/>
          <w:szCs w:val="26"/>
        </w:rPr>
        <w:lastRenderedPageBreak/>
        <w:t>uzyskiwanie maksymalnej wydajności niezależnie od zmiany lokalnych warunków (zacienienia, opadów śniegu itd.), ograniczanie prądu wejściowego i wyjściowego, współpraca z innymi systemami energetycznymi oraz systemami zarządzania.</w:t>
      </w:r>
    </w:p>
    <w:sectPr w:rsidR="00343C3C" w:rsidSect="006F5A4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4C5" w:rsidRDefault="00E824C5" w:rsidP="00BF1278">
      <w:pPr>
        <w:spacing w:line="240" w:lineRule="auto"/>
      </w:pPr>
      <w:r>
        <w:separator/>
      </w:r>
    </w:p>
  </w:endnote>
  <w:endnote w:type="continuationSeparator" w:id="0">
    <w:p w:rsidR="00E824C5" w:rsidRDefault="00E824C5" w:rsidP="00BF1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5130571"/>
      <w:docPartObj>
        <w:docPartGallery w:val="Page Numbers (Bottom of Page)"/>
        <w:docPartUnique/>
      </w:docPartObj>
    </w:sdtPr>
    <w:sdtEndPr/>
    <w:sdtContent>
      <w:p w:rsidR="00BF1278" w:rsidRDefault="00BF12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249B">
          <w:rPr>
            <w:noProof/>
          </w:rPr>
          <w:t>1</w:t>
        </w:r>
        <w:r>
          <w:fldChar w:fldCharType="end"/>
        </w:r>
      </w:p>
    </w:sdtContent>
  </w:sdt>
  <w:p w:rsidR="00BF1278" w:rsidRDefault="00BF12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4C5" w:rsidRDefault="00E824C5" w:rsidP="00BF1278">
      <w:pPr>
        <w:spacing w:line="240" w:lineRule="auto"/>
      </w:pPr>
      <w:r>
        <w:separator/>
      </w:r>
    </w:p>
  </w:footnote>
  <w:footnote w:type="continuationSeparator" w:id="0">
    <w:p w:rsidR="00E824C5" w:rsidRDefault="00E824C5" w:rsidP="00BF12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72C9B"/>
    <w:multiLevelType w:val="hybridMultilevel"/>
    <w:tmpl w:val="AA948570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70D54"/>
    <w:multiLevelType w:val="hybridMultilevel"/>
    <w:tmpl w:val="DABAC8B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E48A6"/>
    <w:multiLevelType w:val="hybridMultilevel"/>
    <w:tmpl w:val="0E24CAA4"/>
    <w:lvl w:ilvl="0" w:tplc="1B1C729A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2A0557"/>
    <w:multiLevelType w:val="hybridMultilevel"/>
    <w:tmpl w:val="2E7E0D58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B335FE"/>
    <w:multiLevelType w:val="hybridMultilevel"/>
    <w:tmpl w:val="37A06A8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CAA"/>
    <w:rsid w:val="00020323"/>
    <w:rsid w:val="000722BD"/>
    <w:rsid w:val="00153D78"/>
    <w:rsid w:val="00167464"/>
    <w:rsid w:val="00185ECF"/>
    <w:rsid w:val="001A368E"/>
    <w:rsid w:val="002D3ABB"/>
    <w:rsid w:val="00343C3C"/>
    <w:rsid w:val="00353ACF"/>
    <w:rsid w:val="00391A68"/>
    <w:rsid w:val="00437789"/>
    <w:rsid w:val="0063347D"/>
    <w:rsid w:val="006627AF"/>
    <w:rsid w:val="006A4C9F"/>
    <w:rsid w:val="006F5A42"/>
    <w:rsid w:val="007236CA"/>
    <w:rsid w:val="00790AD1"/>
    <w:rsid w:val="00862034"/>
    <w:rsid w:val="00866404"/>
    <w:rsid w:val="0087627B"/>
    <w:rsid w:val="008A300B"/>
    <w:rsid w:val="008E0BD0"/>
    <w:rsid w:val="00931121"/>
    <w:rsid w:val="00950DB8"/>
    <w:rsid w:val="009B5F81"/>
    <w:rsid w:val="009D04E6"/>
    <w:rsid w:val="009D1DA8"/>
    <w:rsid w:val="00A33C80"/>
    <w:rsid w:val="00AC3B90"/>
    <w:rsid w:val="00B20129"/>
    <w:rsid w:val="00BF1278"/>
    <w:rsid w:val="00C573E2"/>
    <w:rsid w:val="00C6559C"/>
    <w:rsid w:val="00C929AA"/>
    <w:rsid w:val="00CB2705"/>
    <w:rsid w:val="00CB544C"/>
    <w:rsid w:val="00D36CBD"/>
    <w:rsid w:val="00D72C1C"/>
    <w:rsid w:val="00D93CAA"/>
    <w:rsid w:val="00DE36A8"/>
    <w:rsid w:val="00E17ABF"/>
    <w:rsid w:val="00E3249B"/>
    <w:rsid w:val="00E729A1"/>
    <w:rsid w:val="00E824C5"/>
    <w:rsid w:val="00E82B70"/>
    <w:rsid w:val="00E94F33"/>
    <w:rsid w:val="00EB532C"/>
    <w:rsid w:val="00EC7294"/>
    <w:rsid w:val="00F5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CAA"/>
    <w:pPr>
      <w:widowControl w:val="0"/>
      <w:autoSpaceDE w:val="0"/>
      <w:autoSpaceDN w:val="0"/>
      <w:spacing w:after="0" w:line="324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 w:line="327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 w:line="327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 w:line="327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ind w:firstLine="0"/>
      <w:jc w:val="center"/>
      <w:outlineLvl w:val="3"/>
    </w:pPr>
    <w:rPr>
      <w:rFonts w:asciiTheme="minorHAnsi" w:hAnsiTheme="minorHAns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spacing w:line="327" w:lineRule="auto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ind w:firstLine="0"/>
      <w:jc w:val="center"/>
      <w:outlineLvl w:val="5"/>
    </w:pPr>
    <w:rPr>
      <w:rFonts w:asciiTheme="minorHAnsi" w:hAnsiTheme="minorHAns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spacing w:line="327" w:lineRule="auto"/>
      <w:ind w:firstLine="0"/>
      <w:jc w:val="left"/>
      <w:outlineLvl w:val="6"/>
    </w:pPr>
    <w:rPr>
      <w:rFonts w:asciiTheme="minorHAnsi" w:hAnsiTheme="minorHAnsi"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 w:firstLine="0"/>
      <w:jc w:val="center"/>
      <w:outlineLvl w:val="7"/>
    </w:pPr>
    <w:rPr>
      <w:rFonts w:asciiTheme="minorHAnsi" w:hAnsiTheme="minorHAnsi"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 w:firstLine="0"/>
      <w:jc w:val="center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D93CAA"/>
    <w:pPr>
      <w:spacing w:after="0" w:line="240" w:lineRule="auto"/>
    </w:pPr>
    <w:rPr>
      <w:rFonts w:ascii="Calibri" w:eastAsia="MS Mincho" w:hAnsi="Calibri"/>
    </w:rPr>
  </w:style>
  <w:style w:type="paragraph" w:styleId="Akapitzlist">
    <w:name w:val="List Paragraph"/>
    <w:basedOn w:val="Normalny"/>
    <w:uiPriority w:val="34"/>
    <w:qFormat/>
    <w:rsid w:val="00A33C80"/>
    <w:pPr>
      <w:spacing w:line="32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78"/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78"/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14</cp:revision>
  <cp:lastPrinted>2013-11-20T09:56:00Z</cp:lastPrinted>
  <dcterms:created xsi:type="dcterms:W3CDTF">2013-07-12T12:32:00Z</dcterms:created>
  <dcterms:modified xsi:type="dcterms:W3CDTF">2013-11-20T09:56:00Z</dcterms:modified>
</cp:coreProperties>
</file>